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C" w:rsidRPr="00F1676F" w:rsidRDefault="00540C6C" w:rsidP="00540C6C">
      <w:pPr>
        <w:pStyle w:val="1"/>
        <w:ind w:firstLine="0"/>
        <w:jc w:val="right"/>
        <w:rPr>
          <w:sz w:val="24"/>
          <w:szCs w:val="24"/>
        </w:rPr>
      </w:pPr>
      <w:r w:rsidRPr="00F1676F">
        <w:rPr>
          <w:sz w:val="24"/>
          <w:szCs w:val="24"/>
        </w:rPr>
        <w:t>Приложение 2</w:t>
      </w:r>
    </w:p>
    <w:p w:rsidR="00540C6C" w:rsidRPr="00540C6C" w:rsidRDefault="00540C6C" w:rsidP="00540C6C">
      <w:pPr>
        <w:pStyle w:val="1"/>
        <w:ind w:firstLine="0"/>
        <w:jc w:val="center"/>
        <w:rPr>
          <w:b/>
          <w:szCs w:val="28"/>
        </w:rPr>
      </w:pPr>
      <w:r w:rsidRPr="00540C6C">
        <w:rPr>
          <w:b/>
          <w:szCs w:val="28"/>
        </w:rPr>
        <w:t>Анализ состояния и развития конкурентной среды социально значимых и приоритетных рынков на территории муниципального образования «Чердаклинский район» Ульяновской области</w:t>
      </w:r>
    </w:p>
    <w:p w:rsidR="00540C6C" w:rsidRPr="00B8709D" w:rsidRDefault="00540C6C" w:rsidP="00540C6C">
      <w:pPr>
        <w:ind w:firstLine="720"/>
        <w:jc w:val="both"/>
        <w:rPr>
          <w:b/>
          <w:szCs w:val="28"/>
          <w:highlight w:val="yellow"/>
          <w:u w:val="single"/>
        </w:rPr>
      </w:pPr>
    </w:p>
    <w:p w:rsidR="00540C6C" w:rsidRDefault="00540C6C" w:rsidP="00540C6C">
      <w:pPr>
        <w:ind w:left="-142" w:firstLine="851"/>
        <w:jc w:val="both"/>
        <w:rPr>
          <w:sz w:val="28"/>
          <w:szCs w:val="28"/>
        </w:rPr>
      </w:pPr>
      <w:r w:rsidRPr="00C11D13">
        <w:rPr>
          <w:sz w:val="28"/>
          <w:szCs w:val="28"/>
        </w:rPr>
        <w:t>За последние годы предпринимательств</w:t>
      </w:r>
      <w:r>
        <w:rPr>
          <w:sz w:val="28"/>
          <w:szCs w:val="28"/>
        </w:rPr>
        <w:t>о</w:t>
      </w:r>
      <w:r w:rsidRPr="00C11D13">
        <w:rPr>
          <w:sz w:val="28"/>
          <w:szCs w:val="28"/>
        </w:rPr>
        <w:t xml:space="preserve"> приобретает все большее политическое, социальное и экономическое значение. Малое предпринимательство является важным инструментом для </w:t>
      </w:r>
      <w:r w:rsidRPr="00C11D13">
        <w:rPr>
          <w:color w:val="000000"/>
          <w:sz w:val="28"/>
          <w:szCs w:val="28"/>
        </w:rPr>
        <w:t>повышения уровня благосостояния населения,</w:t>
      </w:r>
      <w:r w:rsidRPr="00C11D13">
        <w:rPr>
          <w:sz w:val="28"/>
          <w:szCs w:val="28"/>
        </w:rPr>
        <w:t xml:space="preserve">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540C6C" w:rsidRDefault="00540C6C" w:rsidP="0054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показателей, отражающих состояние конкурентной среды, является динамика числа зарегистрированных хозяйствующих субъектов.</w:t>
      </w:r>
    </w:p>
    <w:p w:rsidR="00540C6C" w:rsidRDefault="00540C6C" w:rsidP="00540C6C">
      <w:pPr>
        <w:ind w:firstLine="708"/>
        <w:jc w:val="center"/>
        <w:rPr>
          <w:b/>
          <w:sz w:val="28"/>
          <w:szCs w:val="28"/>
        </w:rPr>
      </w:pPr>
      <w:r w:rsidRPr="00851DEC">
        <w:rPr>
          <w:b/>
          <w:sz w:val="28"/>
          <w:szCs w:val="28"/>
        </w:rPr>
        <w:t>Динамика числа хозяйствующих субъектов, зарегистрированных на территории Чердаклинского района</w:t>
      </w:r>
      <w:r>
        <w:rPr>
          <w:b/>
          <w:sz w:val="28"/>
          <w:szCs w:val="28"/>
        </w:rPr>
        <w:t xml:space="preserve">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79"/>
        <w:gridCol w:w="1879"/>
        <w:gridCol w:w="1637"/>
      </w:tblGrid>
      <w:tr w:rsidR="000E0EDB" w:rsidTr="000E0EDB">
        <w:tc>
          <w:tcPr>
            <w:tcW w:w="3936" w:type="dxa"/>
          </w:tcPr>
          <w:p w:rsidR="000E0EDB" w:rsidRPr="00851DEC" w:rsidRDefault="000E0EDB" w:rsidP="005A5EE1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637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 год</w:t>
            </w:r>
          </w:p>
        </w:tc>
      </w:tr>
      <w:tr w:rsidR="000E0EDB" w:rsidTr="000E0EDB">
        <w:tc>
          <w:tcPr>
            <w:tcW w:w="3936" w:type="dxa"/>
          </w:tcPr>
          <w:p w:rsidR="000E0EDB" w:rsidRPr="00851DEC" w:rsidRDefault="000E0EDB" w:rsidP="005A5EE1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1322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1348</w:t>
            </w:r>
          </w:p>
        </w:tc>
        <w:tc>
          <w:tcPr>
            <w:tcW w:w="1637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</w:t>
            </w:r>
          </w:p>
        </w:tc>
      </w:tr>
      <w:tr w:rsidR="000E0EDB" w:rsidTr="000E0EDB">
        <w:tc>
          <w:tcPr>
            <w:tcW w:w="3936" w:type="dxa"/>
          </w:tcPr>
          <w:p w:rsidR="000E0EDB" w:rsidRPr="00851DEC" w:rsidRDefault="000E0EDB" w:rsidP="005A5EE1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</w:t>
            </w:r>
          </w:p>
        </w:tc>
        <w:tc>
          <w:tcPr>
            <w:tcW w:w="1637" w:type="dxa"/>
          </w:tcPr>
          <w:p w:rsidR="000E0EDB" w:rsidRDefault="000E0EDB" w:rsidP="000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31,6</w:t>
            </w:r>
          </w:p>
        </w:tc>
      </w:tr>
      <w:tr w:rsidR="000E0EDB" w:rsidTr="000E0EDB">
        <w:tc>
          <w:tcPr>
            <w:tcW w:w="3936" w:type="dxa"/>
          </w:tcPr>
          <w:p w:rsidR="000E0EDB" w:rsidRPr="00851DEC" w:rsidRDefault="000E0EDB" w:rsidP="005A5EE1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42688</w:t>
            </w:r>
          </w:p>
        </w:tc>
        <w:tc>
          <w:tcPr>
            <w:tcW w:w="1879" w:type="dxa"/>
          </w:tcPr>
          <w:p w:rsidR="000E0EDB" w:rsidRDefault="000E0ED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42475</w:t>
            </w:r>
          </w:p>
        </w:tc>
        <w:tc>
          <w:tcPr>
            <w:tcW w:w="1637" w:type="dxa"/>
          </w:tcPr>
          <w:p w:rsidR="000E0EDB" w:rsidRDefault="000B153B" w:rsidP="005A5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42110</w:t>
            </w:r>
          </w:p>
        </w:tc>
      </w:tr>
    </w:tbl>
    <w:p w:rsidR="00540C6C" w:rsidRDefault="00286002" w:rsidP="0054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</w:t>
      </w:r>
      <w:r w:rsidR="00540C6C" w:rsidRPr="000844BA">
        <w:rPr>
          <w:sz w:val="28"/>
          <w:szCs w:val="28"/>
        </w:rPr>
        <w:t xml:space="preserve"> на территории муниципального образования «Чердаклинский район»</w:t>
      </w:r>
      <w:r w:rsidR="00540C6C">
        <w:rPr>
          <w:sz w:val="28"/>
          <w:szCs w:val="28"/>
        </w:rPr>
        <w:t xml:space="preserve"> Ульяновской области </w:t>
      </w:r>
      <w:r w:rsidR="00540C6C" w:rsidRPr="000844BA">
        <w:rPr>
          <w:sz w:val="28"/>
          <w:szCs w:val="28"/>
        </w:rPr>
        <w:t xml:space="preserve"> зарегистрирован</w:t>
      </w:r>
      <w:r w:rsidR="00540C6C">
        <w:rPr>
          <w:sz w:val="28"/>
          <w:szCs w:val="28"/>
        </w:rPr>
        <w:t>о</w:t>
      </w:r>
      <w:r w:rsidR="00540C6C" w:rsidRPr="00957FBE">
        <w:rPr>
          <w:sz w:val="28"/>
          <w:szCs w:val="28"/>
        </w:rPr>
        <w:t>1</w:t>
      </w:r>
      <w:r w:rsidR="00540C6C">
        <w:rPr>
          <w:sz w:val="28"/>
          <w:szCs w:val="28"/>
        </w:rPr>
        <w:t>3</w:t>
      </w:r>
      <w:r>
        <w:rPr>
          <w:sz w:val="28"/>
          <w:szCs w:val="28"/>
        </w:rPr>
        <w:t xml:space="preserve">32 </w:t>
      </w:r>
      <w:r w:rsidR="00540C6C" w:rsidRPr="00957FBE">
        <w:rPr>
          <w:sz w:val="28"/>
          <w:szCs w:val="28"/>
        </w:rPr>
        <w:t>субъект</w:t>
      </w:r>
      <w:r w:rsidR="00033C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0C6C">
        <w:rPr>
          <w:sz w:val="28"/>
          <w:szCs w:val="28"/>
        </w:rPr>
        <w:t xml:space="preserve">хозяйственной деятельности, что на </w:t>
      </w:r>
      <w:r w:rsidR="00540C6C" w:rsidRPr="00747559">
        <w:rPr>
          <w:sz w:val="28"/>
          <w:szCs w:val="28"/>
        </w:rPr>
        <w:t>1,</w:t>
      </w:r>
      <w:r w:rsidR="000E0EDB" w:rsidRPr="00747559">
        <w:rPr>
          <w:sz w:val="28"/>
          <w:szCs w:val="28"/>
        </w:rPr>
        <w:t>18</w:t>
      </w:r>
      <w:r w:rsidR="00540C6C" w:rsidRPr="00747559">
        <w:rPr>
          <w:sz w:val="28"/>
          <w:szCs w:val="28"/>
        </w:rPr>
        <w:t>%</w:t>
      </w:r>
      <w:r w:rsidR="00540C6C">
        <w:rPr>
          <w:sz w:val="28"/>
          <w:szCs w:val="28"/>
        </w:rPr>
        <w:t xml:space="preserve"> </w:t>
      </w:r>
      <w:r w:rsidR="000E0EDB">
        <w:rPr>
          <w:sz w:val="28"/>
          <w:szCs w:val="28"/>
        </w:rPr>
        <w:t>ниже</w:t>
      </w:r>
      <w:r w:rsidR="00540C6C">
        <w:rPr>
          <w:sz w:val="28"/>
          <w:szCs w:val="28"/>
        </w:rPr>
        <w:t xml:space="preserve"> уровня прошлого года. </w:t>
      </w:r>
    </w:p>
    <w:p w:rsidR="00540C6C" w:rsidRDefault="00540C6C" w:rsidP="00540C6C">
      <w:pPr>
        <w:ind w:right="-8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</w:t>
      </w:r>
      <w:r w:rsidR="00286002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году вновь зарегистрировано 1</w:t>
      </w:r>
      <w:r w:rsidR="00286002">
        <w:rPr>
          <w:sz w:val="28"/>
          <w:szCs w:val="28"/>
          <w:lang w:eastAsia="ru-RU"/>
        </w:rPr>
        <w:t>60</w:t>
      </w:r>
      <w:r>
        <w:rPr>
          <w:sz w:val="28"/>
          <w:szCs w:val="28"/>
          <w:lang w:eastAsia="ru-RU"/>
        </w:rPr>
        <w:t xml:space="preserve"> субъект</w:t>
      </w:r>
      <w:r w:rsidR="00286002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малого и среднего бизнеса.</w:t>
      </w:r>
    </w:p>
    <w:p w:rsidR="00540C6C" w:rsidRPr="003A393D" w:rsidRDefault="00540C6C" w:rsidP="00540C6C">
      <w:pPr>
        <w:jc w:val="center"/>
        <w:rPr>
          <w:b/>
          <w:szCs w:val="28"/>
        </w:rPr>
      </w:pPr>
      <w:r w:rsidRPr="003A393D">
        <w:rPr>
          <w:b/>
          <w:sz w:val="28"/>
          <w:szCs w:val="28"/>
        </w:rPr>
        <w:t>Структура малого и среднего предпринимательства</w:t>
      </w:r>
    </w:p>
    <w:p w:rsidR="00540C6C" w:rsidRPr="003A393D" w:rsidRDefault="00540C6C" w:rsidP="00540C6C">
      <w:pPr>
        <w:rPr>
          <w:szCs w:val="28"/>
        </w:rPr>
      </w:pPr>
    </w:p>
    <w:p w:rsidR="00540C6C" w:rsidRPr="00B8709D" w:rsidRDefault="00540C6C" w:rsidP="00540C6C">
      <w:pPr>
        <w:tabs>
          <w:tab w:val="left" w:pos="7371"/>
        </w:tabs>
        <w:ind w:right="-81" w:firstLine="708"/>
        <w:jc w:val="both"/>
        <w:rPr>
          <w:szCs w:val="28"/>
          <w:highlight w:val="yellow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321078A1" wp14:editId="3CF089B6">
            <wp:extent cx="5086350" cy="25717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0C6C" w:rsidRPr="00C11D13" w:rsidRDefault="00540C6C" w:rsidP="00540C6C">
      <w:pPr>
        <w:ind w:right="-8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11D13">
        <w:rPr>
          <w:sz w:val="28"/>
          <w:szCs w:val="28"/>
          <w:lang w:eastAsia="ru-RU"/>
        </w:rPr>
        <w:t>оминирующим видом предпринимательской де</w:t>
      </w:r>
      <w:r>
        <w:rPr>
          <w:sz w:val="28"/>
          <w:szCs w:val="28"/>
          <w:lang w:eastAsia="ru-RU"/>
        </w:rPr>
        <w:t>ятельности является торговля – 41</w:t>
      </w:r>
      <w:r w:rsidRPr="00C11D13">
        <w:rPr>
          <w:sz w:val="28"/>
          <w:szCs w:val="28"/>
          <w:lang w:eastAsia="ru-RU"/>
        </w:rPr>
        <w:t xml:space="preserve">% от общего количества предпринимателей. </w:t>
      </w:r>
    </w:p>
    <w:p w:rsidR="00540C6C" w:rsidRPr="00440271" w:rsidRDefault="00540C6C" w:rsidP="00540C6C">
      <w:pPr>
        <w:pStyle w:val="2"/>
        <w:spacing w:before="0" w:after="0"/>
        <w:ind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lastRenderedPageBreak/>
        <w:t>Основная часть зарегистрированных хозяйствующих субъектов  - это субъекты малого и среднего предпринимательства. Про</w:t>
      </w:r>
      <w:r w:rsidRPr="00440271">
        <w:rPr>
          <w:b w:val="0"/>
          <w:smallCaps w:val="0"/>
          <w:sz w:val="28"/>
          <w:szCs w:val="28"/>
        </w:rPr>
        <w:t>блемами, с которыми сталкиваются в своей деятельности субъекты малого и среднего предпринимательства, являются следующие:</w:t>
      </w:r>
    </w:p>
    <w:p w:rsidR="00540C6C" w:rsidRPr="00440271" w:rsidRDefault="00540C6C" w:rsidP="00540C6C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отсутствие денежных средств на первоначальном этапе развития бизнеса</w:t>
      </w:r>
      <w:r w:rsidRPr="00440271">
        <w:rPr>
          <w:b w:val="0"/>
          <w:smallCaps w:val="0"/>
          <w:sz w:val="28"/>
          <w:szCs w:val="28"/>
        </w:rPr>
        <w:t>;</w:t>
      </w:r>
    </w:p>
    <w:p w:rsidR="00540C6C" w:rsidRPr="00440271" w:rsidRDefault="00540C6C" w:rsidP="00540C6C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 xml:space="preserve">отсутствие </w:t>
      </w:r>
      <w:r>
        <w:rPr>
          <w:b w:val="0"/>
          <w:smallCaps w:val="0"/>
          <w:sz w:val="28"/>
          <w:szCs w:val="28"/>
        </w:rPr>
        <w:t>доступной инфраструктуры для</w:t>
      </w:r>
      <w:r w:rsidRPr="00440271">
        <w:rPr>
          <w:b w:val="0"/>
          <w:smallCaps w:val="0"/>
          <w:sz w:val="28"/>
          <w:szCs w:val="28"/>
        </w:rPr>
        <w:t xml:space="preserve"> развития малого и среднего предпринимательства;</w:t>
      </w:r>
    </w:p>
    <w:p w:rsidR="00540C6C" w:rsidRPr="00440271" w:rsidRDefault="00540C6C" w:rsidP="00540C6C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административные барьеры;</w:t>
      </w:r>
    </w:p>
    <w:p w:rsidR="00540C6C" w:rsidRPr="00440271" w:rsidRDefault="00540C6C" w:rsidP="00540C6C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несовершенство информационной поддержки;</w:t>
      </w:r>
    </w:p>
    <w:p w:rsidR="00540C6C" w:rsidRDefault="00540C6C" w:rsidP="00540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всех этих задач </w:t>
      </w:r>
      <w:r w:rsidRPr="00510368">
        <w:rPr>
          <w:sz w:val="28"/>
          <w:szCs w:val="28"/>
        </w:rPr>
        <w:t>в районе утвержден</w:t>
      </w:r>
      <w:r>
        <w:rPr>
          <w:sz w:val="28"/>
          <w:szCs w:val="28"/>
        </w:rPr>
        <w:t>а муниципальная</w:t>
      </w:r>
      <w:r w:rsidRPr="005103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годы. Объем финансирования предусмотренный в 201</w:t>
      </w:r>
      <w:r w:rsidR="00033C34">
        <w:rPr>
          <w:sz w:val="28"/>
          <w:szCs w:val="28"/>
        </w:rPr>
        <w:t>7</w:t>
      </w:r>
      <w:r w:rsidRPr="00510368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510368">
        <w:rPr>
          <w:sz w:val="28"/>
          <w:szCs w:val="28"/>
        </w:rPr>
        <w:t xml:space="preserve">л </w:t>
      </w:r>
      <w:r w:rsidR="00286002">
        <w:rPr>
          <w:sz w:val="28"/>
          <w:szCs w:val="28"/>
        </w:rPr>
        <w:t>200</w:t>
      </w:r>
      <w:r w:rsidRPr="00510368">
        <w:rPr>
          <w:sz w:val="28"/>
          <w:szCs w:val="28"/>
        </w:rPr>
        <w:t xml:space="preserve"> тыс. руб. из бюджета муниципального образования «Чердаклинский район» Ульяновской области.</w:t>
      </w:r>
    </w:p>
    <w:p w:rsidR="00540C6C" w:rsidRPr="00510368" w:rsidRDefault="00540C6C" w:rsidP="00540C6C">
      <w:pPr>
        <w:ind w:firstLine="709"/>
        <w:jc w:val="both"/>
        <w:rPr>
          <w:sz w:val="28"/>
          <w:szCs w:val="28"/>
        </w:rPr>
      </w:pPr>
      <w:r w:rsidRPr="00510368">
        <w:rPr>
          <w:sz w:val="28"/>
          <w:szCs w:val="28"/>
        </w:rPr>
        <w:t xml:space="preserve"> По результатам года средств</w:t>
      </w:r>
      <w:r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израсходованы </w:t>
      </w:r>
      <w:r>
        <w:rPr>
          <w:sz w:val="28"/>
          <w:szCs w:val="28"/>
        </w:rPr>
        <w:t>в полном объеме:</w:t>
      </w:r>
    </w:p>
    <w:p w:rsidR="00540C6C" w:rsidRPr="00510368" w:rsidRDefault="00540C6C" w:rsidP="00540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0368">
        <w:rPr>
          <w:sz w:val="28"/>
          <w:szCs w:val="28"/>
        </w:rPr>
        <w:t>Финансирование работы Центра развития предпринимательства Чердаклинского района – 200 тыс. руб.;</w:t>
      </w:r>
    </w:p>
    <w:p w:rsidR="00540C6C" w:rsidRDefault="00540C6C" w:rsidP="00540C6C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иные мероприятия, не требующие финансирования, выполнены в полном объеме.</w:t>
      </w:r>
    </w:p>
    <w:p w:rsidR="00540C6C" w:rsidRDefault="00540C6C" w:rsidP="00540C6C">
      <w:pPr>
        <w:pStyle w:val="Default"/>
        <w:ind w:left="-142"/>
        <w:jc w:val="both"/>
        <w:rPr>
          <w:sz w:val="28"/>
          <w:szCs w:val="28"/>
          <w:lang w:bidi="ru-RU"/>
        </w:rPr>
      </w:pPr>
      <w:r w:rsidRPr="00953E3B">
        <w:rPr>
          <w:sz w:val="28"/>
          <w:szCs w:val="28"/>
        </w:rPr>
        <w:t xml:space="preserve">- </w:t>
      </w:r>
      <w:r w:rsidRPr="00631586">
        <w:rPr>
          <w:b/>
          <w:sz w:val="28"/>
          <w:szCs w:val="28"/>
        </w:rPr>
        <w:t>Рынок услуг перевозок пассажиров наземным транспортом.</w:t>
      </w:r>
      <w:r w:rsidR="000E0EDB">
        <w:rPr>
          <w:b/>
          <w:sz w:val="28"/>
          <w:szCs w:val="28"/>
        </w:rPr>
        <w:t xml:space="preserve"> </w:t>
      </w:r>
      <w:r w:rsidRPr="00953E3B">
        <w:rPr>
          <w:sz w:val="28"/>
          <w:szCs w:val="28"/>
          <w:lang w:bidi="ru-RU"/>
        </w:rPr>
        <w:t>Существенной проблемой, препятствующей развитию конкуренции в сфере перевозок пассажиров наземным транспортом, остаётся значительный износ основных средств, высокая стоимость автомобильного транспорта и средств материально-технического обеспечения, невыгодные условия кредитования на приобретение основных средств и обновление парка автотран</w:t>
      </w:r>
      <w:r w:rsidR="009522B3">
        <w:rPr>
          <w:sz w:val="28"/>
          <w:szCs w:val="28"/>
          <w:lang w:bidi="ru-RU"/>
        </w:rPr>
        <w:t>спортных средств. В течение 2017</w:t>
      </w:r>
      <w:r w:rsidRPr="00953E3B">
        <w:rPr>
          <w:sz w:val="28"/>
          <w:szCs w:val="28"/>
          <w:lang w:bidi="ru-RU"/>
        </w:rPr>
        <w:t xml:space="preserve"> </w:t>
      </w:r>
      <w:r w:rsidR="00593869">
        <w:rPr>
          <w:sz w:val="28"/>
          <w:szCs w:val="28"/>
          <w:lang w:bidi="ru-RU"/>
        </w:rPr>
        <w:t xml:space="preserve">проведены конкурентные процедуры </w:t>
      </w:r>
      <w:r w:rsidRPr="00953E3B">
        <w:rPr>
          <w:sz w:val="28"/>
          <w:szCs w:val="28"/>
          <w:lang w:bidi="ru-RU"/>
        </w:rPr>
        <w:t xml:space="preserve"> определе</w:t>
      </w:r>
      <w:r w:rsidR="00526FBA">
        <w:rPr>
          <w:sz w:val="28"/>
          <w:szCs w:val="28"/>
          <w:lang w:bidi="ru-RU"/>
        </w:rPr>
        <w:t>ния муниципального перевозчика по маршрутам регулярных перевозок</w:t>
      </w:r>
      <w:r w:rsidR="00557251">
        <w:rPr>
          <w:sz w:val="28"/>
          <w:szCs w:val="28"/>
          <w:lang w:bidi="ru-RU"/>
        </w:rPr>
        <w:t xml:space="preserve">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</w:t>
      </w:r>
      <w:r w:rsidR="00526FBA">
        <w:rPr>
          <w:sz w:val="28"/>
          <w:szCs w:val="28"/>
          <w:lang w:bidi="ru-RU"/>
        </w:rPr>
        <w:t>.</w:t>
      </w:r>
      <w:r w:rsidRPr="00953E3B">
        <w:rPr>
          <w:sz w:val="28"/>
          <w:szCs w:val="28"/>
          <w:lang w:bidi="ru-RU"/>
        </w:rPr>
        <w:t xml:space="preserve"> </w:t>
      </w:r>
      <w:r w:rsidR="00526FBA">
        <w:rPr>
          <w:sz w:val="28"/>
          <w:szCs w:val="28"/>
          <w:lang w:bidi="ru-RU"/>
        </w:rPr>
        <w:t xml:space="preserve"> Зак</w:t>
      </w:r>
      <w:r w:rsidR="0044052D">
        <w:rPr>
          <w:sz w:val="28"/>
          <w:szCs w:val="28"/>
          <w:lang w:bidi="ru-RU"/>
        </w:rPr>
        <w:t>лючено</w:t>
      </w:r>
      <w:r w:rsidR="00526FBA">
        <w:rPr>
          <w:sz w:val="28"/>
          <w:szCs w:val="28"/>
          <w:lang w:bidi="ru-RU"/>
        </w:rPr>
        <w:t xml:space="preserve"> 2 муниципальных контракта</w:t>
      </w:r>
      <w:r w:rsidRPr="00953E3B">
        <w:rPr>
          <w:sz w:val="28"/>
          <w:szCs w:val="28"/>
          <w:lang w:bidi="ru-RU"/>
        </w:rPr>
        <w:t xml:space="preserve"> с </w:t>
      </w:r>
      <w:r w:rsidR="00526FBA">
        <w:rPr>
          <w:sz w:val="28"/>
          <w:szCs w:val="28"/>
          <w:lang w:bidi="ru-RU"/>
        </w:rPr>
        <w:t xml:space="preserve">перевозчиком (ИП </w:t>
      </w:r>
      <w:proofErr w:type="spellStart"/>
      <w:r w:rsidR="00526FBA">
        <w:rPr>
          <w:sz w:val="28"/>
          <w:szCs w:val="28"/>
          <w:lang w:bidi="ru-RU"/>
        </w:rPr>
        <w:t>Букаров</w:t>
      </w:r>
      <w:proofErr w:type="spellEnd"/>
      <w:r w:rsidR="00526FBA">
        <w:rPr>
          <w:sz w:val="28"/>
          <w:szCs w:val="28"/>
          <w:lang w:bidi="ru-RU"/>
        </w:rPr>
        <w:t xml:space="preserve"> К.Е.)</w:t>
      </w:r>
      <w:r w:rsidRPr="00953E3B">
        <w:rPr>
          <w:sz w:val="28"/>
          <w:szCs w:val="28"/>
          <w:lang w:bidi="ru-RU"/>
        </w:rPr>
        <w:t xml:space="preserve"> </w:t>
      </w:r>
      <w:r w:rsidR="0044052D">
        <w:rPr>
          <w:sz w:val="28"/>
          <w:szCs w:val="28"/>
          <w:lang w:bidi="ru-RU"/>
        </w:rPr>
        <w:t>на выполнение работ по осуществлению регулярных перевозок пассажиров по регулируемым тарифам по маршрутам муниципального образования «Чердаклинский район»,  муниципального образования «Чердаклинское городское поселение» Чердаклинского района Ульяновской области.</w:t>
      </w:r>
    </w:p>
    <w:p w:rsidR="004845D6" w:rsidRDefault="00540C6C" w:rsidP="004845D6">
      <w:pPr>
        <w:pStyle w:val="Default"/>
        <w:ind w:left="-142"/>
        <w:jc w:val="both"/>
        <w:rPr>
          <w:rStyle w:val="211pt"/>
          <w:sz w:val="28"/>
          <w:szCs w:val="28"/>
        </w:rPr>
      </w:pPr>
      <w:r w:rsidRPr="00953E3B">
        <w:rPr>
          <w:sz w:val="28"/>
          <w:szCs w:val="28"/>
        </w:rPr>
        <w:t xml:space="preserve">- </w:t>
      </w:r>
      <w:r w:rsidRPr="00631586">
        <w:rPr>
          <w:b/>
          <w:sz w:val="28"/>
          <w:szCs w:val="28"/>
        </w:rPr>
        <w:t>Рынок розничной торговли.</w:t>
      </w:r>
      <w:r w:rsidR="000E0EDB">
        <w:rPr>
          <w:b/>
          <w:sz w:val="28"/>
          <w:szCs w:val="28"/>
        </w:rPr>
        <w:t xml:space="preserve"> </w:t>
      </w:r>
      <w:r w:rsidRPr="00E93B1C">
        <w:rPr>
          <w:sz w:val="28"/>
          <w:szCs w:val="28"/>
        </w:rPr>
        <w:t>В</w:t>
      </w:r>
      <w:r w:rsidRPr="00E93B1C">
        <w:rPr>
          <w:rStyle w:val="211pt"/>
          <w:sz w:val="28"/>
          <w:szCs w:val="28"/>
        </w:rPr>
        <w:t xml:space="preserve">ысокий уровень конкуренции со стороны крупных торговых сетей, пользующихся высокой популярностью среди населения, является существенным препятствием для развития мелкооптовой торговли. Одной из главных задач является необходимость развития </w:t>
      </w:r>
      <w:proofErr w:type="spellStart"/>
      <w:r w:rsidRPr="00E93B1C">
        <w:rPr>
          <w:rStyle w:val="211pt"/>
          <w:sz w:val="28"/>
          <w:szCs w:val="28"/>
        </w:rPr>
        <w:t>многоформатной</w:t>
      </w:r>
      <w:proofErr w:type="spellEnd"/>
      <w:r w:rsidRPr="00E93B1C">
        <w:rPr>
          <w:rStyle w:val="211pt"/>
          <w:sz w:val="28"/>
          <w:szCs w:val="28"/>
        </w:rPr>
        <w:t xml:space="preserve"> торговли на территории  Чердаклинского района Ульяновской области, особенно на территориях отдалённых населённых </w:t>
      </w:r>
      <w:r w:rsidRPr="00E93B1C">
        <w:rPr>
          <w:rStyle w:val="211pt"/>
          <w:sz w:val="28"/>
          <w:szCs w:val="28"/>
        </w:rPr>
        <w:lastRenderedPageBreak/>
        <w:t>пунктов, необходимость стимулирования производства и реализации продукции местного производства.</w:t>
      </w:r>
    </w:p>
    <w:p w:rsidR="004845D6" w:rsidRPr="004845D6" w:rsidRDefault="004845D6" w:rsidP="004845D6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4845D6">
        <w:rPr>
          <w:rStyle w:val="211pt"/>
          <w:sz w:val="28"/>
          <w:szCs w:val="28"/>
        </w:rPr>
        <w:t>В течени</w:t>
      </w:r>
      <w:proofErr w:type="gramStart"/>
      <w:r w:rsidRPr="004845D6">
        <w:rPr>
          <w:rStyle w:val="211pt"/>
          <w:sz w:val="28"/>
          <w:szCs w:val="28"/>
        </w:rPr>
        <w:t>и</w:t>
      </w:r>
      <w:proofErr w:type="gramEnd"/>
      <w:r w:rsidRPr="004845D6">
        <w:rPr>
          <w:rStyle w:val="211pt"/>
          <w:sz w:val="28"/>
          <w:szCs w:val="28"/>
        </w:rPr>
        <w:t xml:space="preserve"> 2017 года сельскохозяйственные товаропроизводители Чердаклинского района  приняли участие в 16 областных ярмарках, проводимых в различных населенных пунктах Ульяновской области (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 xml:space="preserve">. Чердаклы, 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 xml:space="preserve">. </w:t>
      </w:r>
      <w:proofErr w:type="gramStart"/>
      <w:r w:rsidRPr="004845D6">
        <w:rPr>
          <w:rStyle w:val="211pt"/>
          <w:sz w:val="28"/>
          <w:szCs w:val="28"/>
        </w:rPr>
        <w:t xml:space="preserve">Ишеевка, г. Димитровград, г. </w:t>
      </w:r>
      <w:proofErr w:type="spellStart"/>
      <w:r w:rsidRPr="004845D6">
        <w:rPr>
          <w:rStyle w:val="211pt"/>
          <w:sz w:val="28"/>
          <w:szCs w:val="28"/>
        </w:rPr>
        <w:t>Новоульяновск</w:t>
      </w:r>
      <w:proofErr w:type="spellEnd"/>
      <w:r w:rsidRPr="004845D6">
        <w:rPr>
          <w:rStyle w:val="211pt"/>
          <w:sz w:val="28"/>
          <w:szCs w:val="28"/>
        </w:rPr>
        <w:t xml:space="preserve"> и т.д.).</w:t>
      </w:r>
      <w:proofErr w:type="gramEnd"/>
    </w:p>
    <w:p w:rsidR="004845D6" w:rsidRPr="004845D6" w:rsidRDefault="004845D6" w:rsidP="004845D6">
      <w:pPr>
        <w:pStyle w:val="Default"/>
        <w:ind w:left="-142"/>
        <w:jc w:val="both"/>
        <w:rPr>
          <w:rStyle w:val="211pt"/>
          <w:sz w:val="28"/>
          <w:szCs w:val="28"/>
        </w:rPr>
      </w:pPr>
      <w:proofErr w:type="gramStart"/>
      <w:r w:rsidRPr="004845D6">
        <w:rPr>
          <w:rStyle w:val="211pt"/>
          <w:sz w:val="28"/>
          <w:szCs w:val="28"/>
        </w:rPr>
        <w:t>В 2017 году  проведено 52 еженедельные ярмарки в населенных пунктах МО «Чердаклинский район» (с. Крестово-Городище, п. Мирный, с. Белый Яр, п. Октябрьский, с. Озерки).</w:t>
      </w:r>
      <w:proofErr w:type="gramEnd"/>
    </w:p>
    <w:p w:rsidR="00540C6C" w:rsidRDefault="004845D6" w:rsidP="00890DFD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4845D6">
        <w:rPr>
          <w:rStyle w:val="211pt"/>
          <w:sz w:val="28"/>
          <w:szCs w:val="28"/>
        </w:rPr>
        <w:t xml:space="preserve">В 2017 году проведено 104 ярмарки выходного дня в 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>. Чердаклы.</w:t>
      </w:r>
    </w:p>
    <w:p w:rsidR="00EB1CDC" w:rsidRPr="00EB1CDC" w:rsidRDefault="00EB1CDC" w:rsidP="00EB1CDC">
      <w:pPr>
        <w:pStyle w:val="Default"/>
        <w:ind w:left="-142" w:firstLine="709"/>
        <w:jc w:val="both"/>
        <w:rPr>
          <w:sz w:val="28"/>
          <w:szCs w:val="28"/>
        </w:rPr>
      </w:pPr>
      <w:r w:rsidRPr="00EB1CDC">
        <w:rPr>
          <w:sz w:val="28"/>
          <w:szCs w:val="28"/>
        </w:rPr>
        <w:t>В течени</w:t>
      </w:r>
      <w:proofErr w:type="gramStart"/>
      <w:r w:rsidRPr="00EB1CDC">
        <w:rPr>
          <w:sz w:val="28"/>
          <w:szCs w:val="28"/>
        </w:rPr>
        <w:t>и</w:t>
      </w:r>
      <w:proofErr w:type="gramEnd"/>
      <w:r w:rsidRPr="00EB1CDC">
        <w:rPr>
          <w:sz w:val="28"/>
          <w:szCs w:val="28"/>
        </w:rPr>
        <w:t xml:space="preserve"> 2017</w:t>
      </w:r>
      <w:r w:rsidR="00033C34">
        <w:rPr>
          <w:sz w:val="28"/>
          <w:szCs w:val="28"/>
        </w:rPr>
        <w:t xml:space="preserve"> </w:t>
      </w:r>
      <w:r w:rsidRPr="00EB1CDC">
        <w:rPr>
          <w:sz w:val="28"/>
          <w:szCs w:val="28"/>
        </w:rPr>
        <w:t>года сотрудники отдела экономики, развития и прогнозирования управления экономического и стратегического развития администрации МО «Чердаклинский район» приняли участие в 4-х закупочных сессиях в г. Ульяновске с участием розничных торговых сетей с целью изучения требований предъявляемых участниками крупных торговых сетей к поставщикам реализуемой продукции.</w:t>
      </w:r>
    </w:p>
    <w:p w:rsidR="00EB1CDC" w:rsidRDefault="00EB1CDC" w:rsidP="00EB1CDC">
      <w:pPr>
        <w:pStyle w:val="Default"/>
        <w:ind w:left="-142" w:firstLine="709"/>
        <w:jc w:val="both"/>
        <w:rPr>
          <w:sz w:val="28"/>
          <w:szCs w:val="28"/>
        </w:rPr>
      </w:pPr>
      <w:r w:rsidRPr="00EB1CDC">
        <w:rPr>
          <w:sz w:val="28"/>
          <w:szCs w:val="28"/>
        </w:rPr>
        <w:t>Кроме того, в октябре 2017 проведена торгово-закупочная сессия в муниципальном образовании «Чердаклинский район».</w:t>
      </w:r>
    </w:p>
    <w:p w:rsidR="00B32555" w:rsidRDefault="00B32555" w:rsidP="00EB1CDC">
      <w:pPr>
        <w:pStyle w:val="Default"/>
        <w:ind w:left="-142" w:firstLine="709"/>
        <w:jc w:val="both"/>
        <w:rPr>
          <w:sz w:val="28"/>
          <w:szCs w:val="28"/>
        </w:rPr>
      </w:pPr>
      <w:r w:rsidRPr="00B32555">
        <w:rPr>
          <w:sz w:val="28"/>
          <w:szCs w:val="28"/>
        </w:rPr>
        <w:t>В течени</w:t>
      </w:r>
      <w:proofErr w:type="gramStart"/>
      <w:r w:rsidRPr="00B32555">
        <w:rPr>
          <w:sz w:val="28"/>
          <w:szCs w:val="28"/>
        </w:rPr>
        <w:t>и</w:t>
      </w:r>
      <w:proofErr w:type="gramEnd"/>
      <w:r w:rsidRPr="00B32555">
        <w:rPr>
          <w:sz w:val="28"/>
          <w:szCs w:val="28"/>
        </w:rPr>
        <w:t xml:space="preserve"> 2017</w:t>
      </w:r>
      <w:r w:rsidR="00033C34">
        <w:rPr>
          <w:sz w:val="28"/>
          <w:szCs w:val="28"/>
        </w:rPr>
        <w:t xml:space="preserve"> </w:t>
      </w:r>
      <w:r w:rsidRPr="00B32555">
        <w:rPr>
          <w:sz w:val="28"/>
          <w:szCs w:val="28"/>
        </w:rPr>
        <w:t>года было проведено 6 заседаний Координационного совета в сфере малого и среднего предпринимательства при администрации МО «Чердаклинский район», на которых  были  рассмотрены вопросы внесенные изменения в действующее законодательство в части применения контрольно-кассовой техники, применения системы «Меркурий», организации обслуживания инвалидов в торговых объектах и т.д.</w:t>
      </w:r>
    </w:p>
    <w:p w:rsidR="00D103FA" w:rsidRPr="00D103FA" w:rsidRDefault="00D103FA" w:rsidP="00D103FA">
      <w:pPr>
        <w:pStyle w:val="Default"/>
        <w:ind w:left="-142"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 xml:space="preserve">Для развития </w:t>
      </w:r>
      <w:proofErr w:type="spellStart"/>
      <w:r w:rsidRPr="00D103FA">
        <w:rPr>
          <w:sz w:val="28"/>
          <w:szCs w:val="28"/>
        </w:rPr>
        <w:t>многоформатной</w:t>
      </w:r>
      <w:proofErr w:type="spellEnd"/>
      <w:r w:rsidRPr="00D103FA">
        <w:rPr>
          <w:sz w:val="28"/>
          <w:szCs w:val="28"/>
        </w:rPr>
        <w:t xml:space="preserve"> (мобильной, нестационарной, ярмарочной, рыночной) торговли на территории  муниципального образования «Чердаклинский район» Ульяновской области ежегодно разрабатывается  график проведения ярмарок на территории МО «Чердаклинский район».</w:t>
      </w:r>
    </w:p>
    <w:p w:rsidR="00D103FA" w:rsidRPr="00FE7887" w:rsidRDefault="00D103FA" w:rsidP="00D103FA">
      <w:pPr>
        <w:pStyle w:val="Default"/>
        <w:ind w:left="-142"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>Постановлением администрации МО «Чердаклинский район» Ульяновской области  от 25.08.2017 №579  утверждена схема размещения нестационарных торговых объектов на территории МО «Чердаклинс</w:t>
      </w:r>
      <w:r>
        <w:rPr>
          <w:sz w:val="28"/>
          <w:szCs w:val="28"/>
        </w:rPr>
        <w:t>кий район» Ульяновской области.</w:t>
      </w:r>
    </w:p>
    <w:p w:rsidR="00540C6C" w:rsidRPr="0065169F" w:rsidRDefault="00540C6C" w:rsidP="00540C6C">
      <w:pPr>
        <w:pStyle w:val="Default"/>
        <w:ind w:left="-142"/>
        <w:jc w:val="both"/>
        <w:rPr>
          <w:sz w:val="28"/>
          <w:szCs w:val="28"/>
        </w:rPr>
      </w:pPr>
      <w:r w:rsidRPr="00953E3B">
        <w:rPr>
          <w:sz w:val="28"/>
          <w:szCs w:val="28"/>
        </w:rPr>
        <w:t xml:space="preserve"> - </w:t>
      </w:r>
      <w:r w:rsidRPr="00631586">
        <w:rPr>
          <w:b/>
          <w:sz w:val="28"/>
          <w:szCs w:val="28"/>
        </w:rPr>
        <w:t>Рынок услуг в сфере  жилищно-коммунального хозяйства</w:t>
      </w:r>
      <w:r>
        <w:rPr>
          <w:b/>
          <w:sz w:val="28"/>
          <w:szCs w:val="28"/>
        </w:rPr>
        <w:t xml:space="preserve">. </w:t>
      </w:r>
      <w:r w:rsidRPr="0065169F">
        <w:rPr>
          <w:sz w:val="28"/>
          <w:szCs w:val="28"/>
        </w:rPr>
        <w:t>Состояние конкуренции на рынке услуг жилищно-коммунального комплекса, характеризуется специфическими для отрасли особенностями, а именно наличием конкурентных и монопольных сегментов.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К конкурентным сферам в жилищно-коммунальном комплексе можно отнести следующие виды деятельности: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управлению многоквартирными домами;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содержанию и ремонту общего имущества в многоквартирных домах.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По причине ограниченности технологических возможностей, устоявшейся системы энергоснабжения, </w:t>
      </w:r>
      <w:proofErr w:type="spellStart"/>
      <w:r w:rsidRPr="0065169F">
        <w:rPr>
          <w:sz w:val="28"/>
          <w:szCs w:val="28"/>
        </w:rPr>
        <w:t>водообеспечения</w:t>
      </w:r>
      <w:proofErr w:type="spellEnd"/>
      <w:r w:rsidRPr="0065169F">
        <w:rPr>
          <w:sz w:val="28"/>
          <w:szCs w:val="28"/>
        </w:rPr>
        <w:t xml:space="preserve"> и водоотведения, конкуренция на данных рынках имеет низкий потенциал для развития.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lastRenderedPageBreak/>
        <w:t>Согласно</w:t>
      </w:r>
      <w:proofErr w:type="gramEnd"/>
      <w:r w:rsidRPr="0065169F">
        <w:rPr>
          <w:sz w:val="28"/>
          <w:szCs w:val="28"/>
        </w:rPr>
        <w:t xml:space="preserve"> проведенного мониторинга на территории МО «Чердаклинский район»    в сфере  жилищно-коммунального хозяйства осуществляют  свою деятельность  по оказанию коммунальных услуг </w:t>
      </w:r>
      <w:r w:rsidR="00033C34">
        <w:rPr>
          <w:sz w:val="28"/>
          <w:szCs w:val="28"/>
        </w:rPr>
        <w:t>3</w:t>
      </w:r>
      <w:r w:rsidRPr="0065169F">
        <w:rPr>
          <w:sz w:val="28"/>
          <w:szCs w:val="28"/>
        </w:rPr>
        <w:t xml:space="preserve">  организаци</w:t>
      </w:r>
      <w:r w:rsidR="00033C34">
        <w:rPr>
          <w:sz w:val="28"/>
          <w:szCs w:val="28"/>
        </w:rPr>
        <w:t>и</w:t>
      </w:r>
      <w:r w:rsidRPr="0065169F">
        <w:rPr>
          <w:sz w:val="28"/>
          <w:szCs w:val="28"/>
        </w:rPr>
        <w:t xml:space="preserve"> частной формы собственности, использующих  объекты  коммунальной инфраструктуры  на праве  частной собственности, по договору аренды, по концессионному соглашению.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Инвестиционные проекты в сфере  жилищно-коммунального комплекса по итогам 201</w:t>
      </w:r>
      <w:r w:rsidR="00033C34">
        <w:rPr>
          <w:sz w:val="28"/>
          <w:szCs w:val="28"/>
        </w:rPr>
        <w:t>7</w:t>
      </w:r>
      <w:r w:rsidRPr="0065169F">
        <w:rPr>
          <w:sz w:val="28"/>
          <w:szCs w:val="28"/>
        </w:rPr>
        <w:t xml:space="preserve"> года не реализовывались</w:t>
      </w:r>
    </w:p>
    <w:p w:rsidR="00540C6C" w:rsidRPr="0065169F" w:rsidRDefault="00033C34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0C6C" w:rsidRPr="0065169F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="00540C6C" w:rsidRPr="0065169F">
        <w:rPr>
          <w:sz w:val="28"/>
          <w:szCs w:val="28"/>
        </w:rPr>
        <w:t xml:space="preserve"> между администрацией МО «Чердаклинский район»  </w:t>
      </w:r>
      <w:proofErr w:type="gramStart"/>
      <w:r w:rsidR="00540C6C" w:rsidRPr="0065169F">
        <w:rPr>
          <w:sz w:val="28"/>
          <w:szCs w:val="28"/>
        </w:rPr>
        <w:t>и ООО</w:t>
      </w:r>
      <w:proofErr w:type="gramEnd"/>
      <w:r w:rsidR="00540C6C" w:rsidRPr="0065169F">
        <w:rPr>
          <w:sz w:val="28"/>
          <w:szCs w:val="28"/>
        </w:rPr>
        <w:t xml:space="preserve"> «Премьера» заключено концессионное  соглашение №1  в отношении объектов водоснабжения, водоотведения муниципального образования «Чердаклинский район», находящихся на территории п. Мирный</w:t>
      </w:r>
      <w:r w:rsidR="00540C6C">
        <w:rPr>
          <w:sz w:val="28"/>
          <w:szCs w:val="28"/>
        </w:rPr>
        <w:t>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По  итогам 201</w:t>
      </w:r>
      <w:r w:rsidR="00033C34">
        <w:rPr>
          <w:sz w:val="28"/>
          <w:szCs w:val="28"/>
        </w:rPr>
        <w:t>7</w:t>
      </w:r>
      <w:r w:rsidRPr="0065169F">
        <w:rPr>
          <w:sz w:val="28"/>
          <w:szCs w:val="28"/>
        </w:rPr>
        <w:t xml:space="preserve"> года  администрацией МО «Чердаклинский район»  проведено два обучающих семинара  </w:t>
      </w:r>
      <w:r w:rsidRPr="0065169F">
        <w:rPr>
          <w:rStyle w:val="211pt"/>
          <w:sz w:val="28"/>
          <w:szCs w:val="28"/>
        </w:rPr>
        <w:t>для работников управляющих организаций, осуществляющих деятельность по управлению многоквартирными домами с участием представителей Главной государственной инспекции регионального надзора Ульяновской области</w:t>
      </w:r>
      <w:r w:rsidR="00033C34">
        <w:rPr>
          <w:rStyle w:val="211pt"/>
          <w:sz w:val="28"/>
          <w:szCs w:val="28"/>
        </w:rPr>
        <w:t>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Большинством организаций жилищно-коммунального комплекса Чердаклинского района Ульяновской области, являющимися по сути локальными монополиями,</w:t>
      </w:r>
      <w:bookmarkStart w:id="0" w:name="_GoBack"/>
      <w:bookmarkEnd w:id="0"/>
      <w:r w:rsidRPr="0065169F">
        <w:rPr>
          <w:sz w:val="28"/>
          <w:szCs w:val="28"/>
        </w:rPr>
        <w:t xml:space="preserve"> используется достаточно сложная инфраструктура, что ставит под сомнение перспективы развития конкуренции в отрасли. При этом монополия является наиболее приемлемой и экономически обоснованной формой осуществления деятельности.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t>К барьерам, препятствующим для вхождения на рынок управляющих компаний можно отнести следующие:</w:t>
      </w:r>
      <w:proofErr w:type="gramEnd"/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значительный уровень износа коммунальной инфраструктуры;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наличие задолженности за ЖКУ;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низкая рентабельность отрасли;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физический износ жилищного фонда;</w:t>
      </w:r>
    </w:p>
    <w:p w:rsidR="00540C6C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низкий уровень развития предпринимательства в сфере жилищно-коммунального комплекса</w:t>
      </w:r>
      <w:r>
        <w:rPr>
          <w:sz w:val="28"/>
          <w:szCs w:val="28"/>
        </w:rPr>
        <w:t>.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Основными показателями деятельности управляющих компаний  можно считать: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снижение количества жалоб и обращений собственников помещений; 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наличие решений собственников помещений об утверждении планов ремонта и содержания общего имущества дома; 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своевременность предоставления отчетности собственникам помещений; </w:t>
      </w:r>
    </w:p>
    <w:p w:rsidR="00540C6C" w:rsidRPr="0065169F" w:rsidRDefault="00540C6C" w:rsidP="00540C6C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повышение качества и стоимости выполнения работ, услуг.</w:t>
      </w:r>
    </w:p>
    <w:p w:rsidR="00540C6C" w:rsidRPr="00540C6C" w:rsidRDefault="00540C6C" w:rsidP="00540C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E3B">
        <w:rPr>
          <w:b/>
          <w:sz w:val="28"/>
          <w:szCs w:val="28"/>
        </w:rPr>
        <w:t xml:space="preserve"> - </w:t>
      </w:r>
      <w:r w:rsidRPr="00631586">
        <w:rPr>
          <w:rStyle w:val="212pt"/>
          <w:sz w:val="28"/>
          <w:szCs w:val="28"/>
        </w:rPr>
        <w:t>Рынок туристических услуг</w:t>
      </w:r>
      <w:r w:rsidRPr="00953E3B">
        <w:rPr>
          <w:rStyle w:val="212pt"/>
          <w:sz w:val="28"/>
          <w:szCs w:val="28"/>
        </w:rPr>
        <w:t>.</w:t>
      </w:r>
      <w:r>
        <w:rPr>
          <w:rStyle w:val="212pt"/>
          <w:sz w:val="28"/>
          <w:szCs w:val="28"/>
        </w:rPr>
        <w:t xml:space="preserve"> </w:t>
      </w:r>
      <w:r w:rsidRPr="00631586">
        <w:rPr>
          <w:sz w:val="28"/>
          <w:szCs w:val="28"/>
        </w:rPr>
        <w:t xml:space="preserve">Разработана и утверждена муниципальная программа «Развитие туризма в муниципальном образовании «Чердаклинский район» Ульяновской области на 2016-2020 годы». С целью позиционирования </w:t>
      </w:r>
      <w:r w:rsidRPr="00631586">
        <w:rPr>
          <w:rStyle w:val="211pt"/>
          <w:sz w:val="28"/>
          <w:szCs w:val="28"/>
        </w:rPr>
        <w:t>муниципального образования «Чердаклинский район» Ульяновской области как региона с развитой туристической инфраструктурой в</w:t>
      </w:r>
      <w:r w:rsidRPr="00631586">
        <w:rPr>
          <w:sz w:val="28"/>
          <w:szCs w:val="28"/>
        </w:rPr>
        <w:t xml:space="preserve"> течение 201</w:t>
      </w:r>
      <w:r w:rsidR="000E0EDB">
        <w:rPr>
          <w:sz w:val="28"/>
          <w:szCs w:val="28"/>
        </w:rPr>
        <w:t>7</w:t>
      </w:r>
      <w:r w:rsidRPr="00631586">
        <w:rPr>
          <w:sz w:val="28"/>
          <w:szCs w:val="28"/>
        </w:rPr>
        <w:t xml:space="preserve"> года наш район принимал участие в </w:t>
      </w:r>
      <w:r w:rsidRPr="00631586">
        <w:rPr>
          <w:sz w:val="28"/>
          <w:szCs w:val="28"/>
        </w:rPr>
        <w:lastRenderedPageBreak/>
        <w:t>межрегиональной выставке - ярмарке «Отдых на Волге»</w:t>
      </w:r>
      <w:r w:rsidR="000E0EDB">
        <w:rPr>
          <w:sz w:val="28"/>
          <w:szCs w:val="28"/>
        </w:rPr>
        <w:t xml:space="preserve"> и семинаре по развитию сельского туризма в г. Тольятти</w:t>
      </w:r>
      <w:r w:rsidRPr="00631586">
        <w:rPr>
          <w:sz w:val="28"/>
          <w:szCs w:val="28"/>
        </w:rPr>
        <w:t>. В рамках р</w:t>
      </w:r>
      <w:r w:rsidRPr="00631586">
        <w:rPr>
          <w:rStyle w:val="211pt"/>
          <w:sz w:val="28"/>
          <w:szCs w:val="28"/>
        </w:rPr>
        <w:t>еализации инвестиционных проектов в</w:t>
      </w:r>
      <w:r w:rsidRPr="00631586">
        <w:rPr>
          <w:sz w:val="28"/>
          <w:szCs w:val="28"/>
        </w:rPr>
        <w:t xml:space="preserve"> реестре инвестиционных проектов  зарегистрировано 13 инвестиционных проектов в отрасли туризма с общим </w:t>
      </w:r>
      <w:r w:rsidRPr="00177E61">
        <w:rPr>
          <w:sz w:val="28"/>
          <w:szCs w:val="28"/>
        </w:rPr>
        <w:t xml:space="preserve">объемом инвестиций 515 млн. руб. Для выявления </w:t>
      </w:r>
      <w:r w:rsidRPr="00177E61">
        <w:rPr>
          <w:rStyle w:val="211pt"/>
          <w:sz w:val="28"/>
          <w:szCs w:val="28"/>
        </w:rPr>
        <w:t>проблем развития и</w:t>
      </w:r>
      <w:r w:rsidR="000E0EDB">
        <w:rPr>
          <w:rStyle w:val="211pt"/>
          <w:sz w:val="28"/>
          <w:szCs w:val="28"/>
        </w:rPr>
        <w:t xml:space="preserve"> </w:t>
      </w:r>
      <w:r w:rsidRPr="00177E61">
        <w:rPr>
          <w:rStyle w:val="211pt"/>
          <w:sz w:val="28"/>
          <w:szCs w:val="28"/>
        </w:rPr>
        <w:t>наличия административных барьеров в сфере туристической деятельности в</w:t>
      </w:r>
      <w:r w:rsidRPr="00631586">
        <w:rPr>
          <w:sz w:val="28"/>
          <w:szCs w:val="28"/>
        </w:rPr>
        <w:t xml:space="preserve"> муниципальном образовании «Чердаклинский район» Ульяновской области создан совет по туризму, проведено два совещания.</w:t>
      </w:r>
      <w:r>
        <w:rPr>
          <w:sz w:val="28"/>
          <w:szCs w:val="28"/>
        </w:rPr>
        <w:t xml:space="preserve"> </w:t>
      </w:r>
      <w:r w:rsidRPr="00540C6C">
        <w:rPr>
          <w:rStyle w:val="a7"/>
          <w:rFonts w:ascii="Times New Roman" w:eastAsia="Tahoma" w:hAnsi="Times New Roman" w:cs="Times New Roman"/>
          <w:sz w:val="28"/>
          <w:szCs w:val="28"/>
        </w:rPr>
        <w:t>Число туристов, посетивших объекты туристической сферы на территории муниципального образования «Чердаклинский район» Ульяновской области за 201</w:t>
      </w:r>
      <w:r w:rsidR="000E0EDB">
        <w:rPr>
          <w:rStyle w:val="a7"/>
          <w:rFonts w:ascii="Times New Roman" w:eastAsia="Tahoma" w:hAnsi="Times New Roman" w:cs="Times New Roman"/>
          <w:sz w:val="28"/>
          <w:szCs w:val="28"/>
        </w:rPr>
        <w:t>7</w:t>
      </w:r>
      <w:r w:rsidRPr="00540C6C">
        <w:rPr>
          <w:rStyle w:val="a7"/>
          <w:rFonts w:ascii="Times New Roman" w:eastAsia="Tahoma" w:hAnsi="Times New Roman" w:cs="Times New Roman"/>
          <w:sz w:val="28"/>
          <w:szCs w:val="28"/>
        </w:rPr>
        <w:t xml:space="preserve"> год </w:t>
      </w:r>
      <w:r w:rsidR="000E0EDB">
        <w:rPr>
          <w:rStyle w:val="a7"/>
          <w:rFonts w:ascii="Times New Roman" w:eastAsia="Tahoma" w:hAnsi="Times New Roman" w:cs="Times New Roman"/>
          <w:sz w:val="28"/>
          <w:szCs w:val="28"/>
        </w:rPr>
        <w:t>–</w:t>
      </w:r>
      <w:r w:rsidRPr="00540C6C">
        <w:rPr>
          <w:rStyle w:val="a7"/>
          <w:rFonts w:ascii="Times New Roman" w:eastAsia="Tahoma" w:hAnsi="Times New Roman" w:cs="Times New Roman"/>
          <w:sz w:val="28"/>
          <w:szCs w:val="28"/>
        </w:rPr>
        <w:t xml:space="preserve"> </w:t>
      </w:r>
      <w:r w:rsidR="000E0EDB">
        <w:rPr>
          <w:rStyle w:val="a7"/>
          <w:rFonts w:ascii="Times New Roman" w:eastAsia="Tahoma" w:hAnsi="Times New Roman" w:cs="Times New Roman"/>
          <w:bCs/>
          <w:sz w:val="28"/>
          <w:szCs w:val="28"/>
        </w:rPr>
        <w:t>20,5</w:t>
      </w:r>
      <w:r w:rsidRPr="00540C6C">
        <w:rPr>
          <w:rStyle w:val="a7"/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540C6C">
        <w:rPr>
          <w:rStyle w:val="a7"/>
          <w:rFonts w:ascii="Times New Roman" w:eastAsia="Tahoma" w:hAnsi="Times New Roman" w:cs="Times New Roman"/>
          <w:sz w:val="28"/>
          <w:szCs w:val="28"/>
        </w:rPr>
        <w:t>тысяч человек. Плановый п</w:t>
      </w:r>
      <w:r w:rsidRPr="00540C6C">
        <w:rPr>
          <w:rStyle w:val="a7"/>
          <w:rFonts w:ascii="Times New Roman" w:eastAsia="Tahoma" w:hAnsi="Times New Roman" w:cs="Times New Roman"/>
          <w:bCs/>
          <w:sz w:val="28"/>
          <w:szCs w:val="28"/>
        </w:rPr>
        <w:t>оказатель 201</w:t>
      </w:r>
      <w:r w:rsidR="000E0EDB">
        <w:rPr>
          <w:rStyle w:val="a7"/>
          <w:rFonts w:ascii="Times New Roman" w:eastAsia="Tahoma" w:hAnsi="Times New Roman" w:cs="Times New Roman"/>
          <w:bCs/>
          <w:sz w:val="28"/>
          <w:szCs w:val="28"/>
        </w:rPr>
        <w:t>7</w:t>
      </w:r>
      <w:r w:rsidRPr="00540C6C">
        <w:rPr>
          <w:rStyle w:val="a7"/>
          <w:rFonts w:ascii="Times New Roman" w:eastAsia="Tahoma" w:hAnsi="Times New Roman" w:cs="Times New Roman"/>
          <w:bCs/>
          <w:sz w:val="28"/>
          <w:szCs w:val="28"/>
        </w:rPr>
        <w:t xml:space="preserve"> года составил </w:t>
      </w:r>
      <w:r w:rsidR="000E0EDB">
        <w:rPr>
          <w:sz w:val="28"/>
          <w:szCs w:val="28"/>
        </w:rPr>
        <w:t>20</w:t>
      </w:r>
      <w:r w:rsidRPr="00540C6C">
        <w:rPr>
          <w:sz w:val="28"/>
          <w:szCs w:val="28"/>
        </w:rPr>
        <w:t xml:space="preserve"> </w:t>
      </w:r>
      <w:r w:rsidRPr="00540C6C">
        <w:rPr>
          <w:rStyle w:val="a7"/>
          <w:rFonts w:ascii="Times New Roman" w:eastAsia="Tahoma" w:hAnsi="Times New Roman" w:cs="Times New Roman"/>
          <w:bCs/>
          <w:sz w:val="28"/>
          <w:szCs w:val="28"/>
        </w:rPr>
        <w:t>тысяч человек, т.е. данный показатель выполнен на 10</w:t>
      </w:r>
      <w:r w:rsidR="000E0EDB">
        <w:rPr>
          <w:rStyle w:val="a7"/>
          <w:rFonts w:ascii="Times New Roman" w:eastAsia="Tahoma" w:hAnsi="Times New Roman" w:cs="Times New Roman"/>
          <w:bCs/>
          <w:sz w:val="28"/>
          <w:szCs w:val="28"/>
        </w:rPr>
        <w:t>2</w:t>
      </w:r>
      <w:r w:rsidRPr="00540C6C">
        <w:rPr>
          <w:rStyle w:val="a7"/>
          <w:rFonts w:ascii="Times New Roman" w:eastAsia="Tahoma" w:hAnsi="Times New Roman" w:cs="Times New Roman"/>
          <w:bCs/>
          <w:sz w:val="28"/>
          <w:szCs w:val="28"/>
        </w:rPr>
        <w:t>,5%.</w:t>
      </w:r>
    </w:p>
    <w:p w:rsidR="00540C6C" w:rsidRPr="00540C6C" w:rsidRDefault="00540C6C" w:rsidP="00540C6C">
      <w:pPr>
        <w:ind w:left="-142" w:firstLine="851"/>
        <w:jc w:val="both"/>
        <w:rPr>
          <w:sz w:val="28"/>
          <w:szCs w:val="28"/>
        </w:rPr>
      </w:pPr>
    </w:p>
    <w:p w:rsidR="00682583" w:rsidRPr="00540C6C" w:rsidRDefault="00682583" w:rsidP="00540C6C"/>
    <w:sectPr w:rsidR="00682583" w:rsidRPr="0054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4EAE"/>
    <w:multiLevelType w:val="hybridMultilevel"/>
    <w:tmpl w:val="4000CB1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A34ED6"/>
    <w:multiLevelType w:val="hybridMultilevel"/>
    <w:tmpl w:val="396C519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3"/>
    <w:rsid w:val="00033C34"/>
    <w:rsid w:val="000B153B"/>
    <w:rsid w:val="000E0EDB"/>
    <w:rsid w:val="002418FD"/>
    <w:rsid w:val="00286002"/>
    <w:rsid w:val="0044052D"/>
    <w:rsid w:val="004845D6"/>
    <w:rsid w:val="00526FBA"/>
    <w:rsid w:val="00540C6C"/>
    <w:rsid w:val="00557251"/>
    <w:rsid w:val="00593869"/>
    <w:rsid w:val="00682583"/>
    <w:rsid w:val="00747559"/>
    <w:rsid w:val="00890DFD"/>
    <w:rsid w:val="009522B3"/>
    <w:rsid w:val="009D62EF"/>
    <w:rsid w:val="00B32555"/>
    <w:rsid w:val="00C31287"/>
    <w:rsid w:val="00C35733"/>
    <w:rsid w:val="00D103FA"/>
    <w:rsid w:val="00EB1CDC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40C6C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540C6C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0C6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4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540C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540C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540C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540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6">
    <w:name w:val="Plain Text"/>
    <w:basedOn w:val="a"/>
    <w:link w:val="a7"/>
    <w:uiPriority w:val="99"/>
    <w:semiHidden/>
    <w:rsid w:val="00540C6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40C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40C6C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540C6C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0C6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4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540C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540C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540C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540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6">
    <w:name w:val="Plain Text"/>
    <w:basedOn w:val="a"/>
    <w:link w:val="a7"/>
    <w:uiPriority w:val="99"/>
    <w:semiHidden/>
    <w:rsid w:val="00540C6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40C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43594646271523"/>
          <c:y val="0.10769230769230767"/>
          <c:w val="0.66730401529636729"/>
          <c:h val="0.53076923076923077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108338985716693E-2"/>
                  <c:y val="-4.92777291727423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361772194205178E-3"/>
                  <c:y val="-8.80867113832993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820549116753675E-2"/>
                  <c:y val="3.4652668416447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818356975041038"/>
                  <c:y val="-8.01862544959657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2420203092590959E-2"/>
                  <c:y val="-0.107129386604452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2483509785995866E-2"/>
                  <c:y val="-8.7050840867113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Сельское хозяйство</c:v>
                </c:pt>
                <c:pt idx="1">
                  <c:v>Производственная деятельность</c:v>
                </c:pt>
                <c:pt idx="2">
                  <c:v>Торговля</c:v>
                </c:pt>
                <c:pt idx="3">
                  <c:v>Транспорт </c:v>
                </c:pt>
                <c:pt idx="4">
                  <c:v>Прочие виды деятельности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109</c:v>
                </c:pt>
                <c:pt idx="2">
                  <c:v>357</c:v>
                </c:pt>
                <c:pt idx="3">
                  <c:v>84</c:v>
                </c:pt>
                <c:pt idx="4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2.4267107061055591E-2"/>
          <c:y val="0.6942875473899095"/>
          <c:w val="0.97393749938561058"/>
          <c:h val="0.27608282298046094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Софронова ЕН</cp:lastModifiedBy>
  <cp:revision>19</cp:revision>
  <dcterms:created xsi:type="dcterms:W3CDTF">2018-01-29T10:04:00Z</dcterms:created>
  <dcterms:modified xsi:type="dcterms:W3CDTF">2018-01-31T09:25:00Z</dcterms:modified>
</cp:coreProperties>
</file>