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06B5" w:rsidRPr="005004E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="005004ED" w:rsidRPr="005004ED">
        <w:rPr>
          <w:rFonts w:ascii="Times New Roman" w:hAnsi="Times New Roman" w:cs="Times New Roman"/>
          <w:b/>
          <w:sz w:val="28"/>
          <w:szCs w:val="28"/>
        </w:rPr>
        <w:t>решения Совета депутатов муниципального образования «Чердаклинский район» Ульяновской области «</w:t>
      </w:r>
      <w:r w:rsidR="005004ED" w:rsidRPr="005004E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муниципальное образование «Чердаклинский район» Ульяновской области «Об утверждении Положения о едином налоге на вменённый доход на территории муниципального образования «Чердаклинский район» Ульяновской области и признании утратившим силу решения Совета депутатов муниципального образования «Чердаклинский район» Ульяновской области от 18.11.2015 № 67»</w:t>
      </w:r>
      <w:proofErr w:type="gramEnd"/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</w:t>
      </w:r>
      <w:r w:rsidR="00C43148">
        <w:rPr>
          <w:rFonts w:ascii="Times New Roman" w:hAnsi="Times New Roman" w:cs="Times New Roman"/>
          <w:sz w:val="28"/>
          <w:szCs w:val="28"/>
        </w:rPr>
        <w:t>У</w:t>
      </w:r>
      <w:r w:rsidRPr="00AD0DD6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5004ED" w:rsidRPr="005004ED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«Чердаклинский район» Ульяновской области «</w:t>
      </w:r>
      <w:r w:rsidR="005004ED" w:rsidRPr="005004E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муниципальное образование «Чердаклинский район» Ульяновской области «Об утверждении Положения о едином налоге на вменённый доход на территории муниципального образования «Чердаклинский район» Ульяновской области и признании утратившим силу</w:t>
      </w:r>
      <w:proofErr w:type="gramEnd"/>
      <w:r w:rsidR="005004ED" w:rsidRPr="005004ED"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 муниципального образования «Чердаклинский район» Ульяновской области от 18.11.2015 № 67»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3137CB" w:rsidRPr="00F72660" w:rsidRDefault="00F72660" w:rsidP="003137C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60">
        <w:rPr>
          <w:rFonts w:ascii="Times New Roman" w:hAnsi="Times New Roman" w:cs="Times New Roman"/>
          <w:sz w:val="28"/>
          <w:szCs w:val="28"/>
        </w:rPr>
        <w:t xml:space="preserve">П. 2 ст. 346.31 Налогового кодекса РФ дает право органам местного самоуправления нормативными правовыми актами устанавливать налоговую ставку по единому налогу в размере от 7,5 до 15 %.  </w:t>
      </w:r>
      <w:r w:rsidRPr="00F72660">
        <w:rPr>
          <w:rFonts w:ascii="Times New Roman" w:hAnsi="Times New Roman" w:cs="Times New Roman"/>
          <w:bCs/>
          <w:sz w:val="28"/>
          <w:szCs w:val="28"/>
        </w:rPr>
        <w:t xml:space="preserve">Принятие данного нормативно - правового акта обусловлено необходимостью внесения изменений в </w:t>
      </w:r>
      <w:r w:rsidRPr="00F72660">
        <w:rPr>
          <w:rFonts w:ascii="Times New Roman" w:hAnsi="Times New Roman" w:cs="Times New Roman"/>
          <w:sz w:val="28"/>
          <w:szCs w:val="28"/>
        </w:rPr>
        <w:t>часть 2 пункта 4 Положения о едином налоге на вмененный доход на территории муниципального образования «Чердаклинский район» в части предоставления льготной налоговой ставки</w:t>
      </w:r>
      <w:proofErr w:type="gramEnd"/>
      <w:r w:rsidRPr="00F72660">
        <w:rPr>
          <w:rFonts w:ascii="Times New Roman" w:hAnsi="Times New Roman" w:cs="Times New Roman"/>
          <w:sz w:val="28"/>
          <w:szCs w:val="28"/>
        </w:rPr>
        <w:t xml:space="preserve"> по единому налогу на вмененный доход на территории муниципального образования «Чердаклинский район»</w:t>
      </w:r>
      <w:r w:rsidR="00085E5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72660">
        <w:rPr>
          <w:rFonts w:ascii="Times New Roman" w:hAnsi="Times New Roman" w:cs="Times New Roman"/>
          <w:sz w:val="28"/>
          <w:szCs w:val="28"/>
        </w:rPr>
        <w:t xml:space="preserve"> для вновь открывшихся индивидуальных предпринимателей. </w:t>
      </w:r>
      <w:proofErr w:type="gramStart"/>
      <w:r w:rsidRPr="00F72660">
        <w:rPr>
          <w:rFonts w:ascii="Times New Roman" w:hAnsi="Times New Roman" w:cs="Times New Roman"/>
          <w:sz w:val="28"/>
          <w:szCs w:val="28"/>
        </w:rPr>
        <w:t>Необходимость введения льготной налоговой ставки обусловлен тем, что в стране проводится работа по поддержке малого предпринимательства, в том числе по снижению налоговой нагрузки на малый бизнес.</w:t>
      </w:r>
      <w:proofErr w:type="gramEnd"/>
      <w:r w:rsidRPr="00F72660">
        <w:rPr>
          <w:rFonts w:ascii="Times New Roman" w:hAnsi="Times New Roman" w:cs="Times New Roman"/>
          <w:sz w:val="28"/>
          <w:szCs w:val="28"/>
        </w:rPr>
        <w:t xml:space="preserve"> Предоставление льготной налоговой ставки по единому налогу на вмененный доход позволит создать благоприятный инвестиционный климат и стимулирует развития малого бизнеса в отдельных отраслях на территории муниципального образования «Чердаклинский район» Ульяновской области</w:t>
      </w:r>
      <w:r w:rsidR="003137CB" w:rsidRPr="00F72660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0E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FF320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 xml:space="preserve"> предлагаемый способ регулирования, оценка негативных эффектов, возникающих в связи с наличием рассматриваемой проблемы.</w:t>
      </w:r>
    </w:p>
    <w:p w:rsidR="003137CB" w:rsidRPr="0037779F" w:rsidRDefault="0037779F" w:rsidP="003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79F">
        <w:rPr>
          <w:rFonts w:ascii="Times New Roman" w:hAnsi="Times New Roman" w:cs="Times New Roman"/>
          <w:sz w:val="28"/>
          <w:szCs w:val="28"/>
        </w:rPr>
        <w:t>Представление пониженной налоговой ставки по единому налогу на вмененный доход в размере в размере 7,5 процентов величины вмененного дохода для налогоплательщиков, впервые зарегистрированных в качестве индивидуальных предпринимателей, в течение двух календарных лет.</w:t>
      </w:r>
    </w:p>
    <w:p w:rsidR="00BE6E57" w:rsidRDefault="00372135" w:rsidP="00204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CA446C" w:rsidRDefault="000E1C60" w:rsidP="000E1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затрагивает интересы </w:t>
      </w:r>
      <w:r w:rsidR="0037779F" w:rsidRPr="0037779F">
        <w:rPr>
          <w:rFonts w:ascii="Times New Roman" w:hAnsi="Times New Roman" w:cs="Times New Roman"/>
          <w:sz w:val="28"/>
          <w:szCs w:val="28"/>
        </w:rPr>
        <w:t xml:space="preserve">налогоплательщиков, впервые зарегистрированных в качестве </w:t>
      </w:r>
      <w:r w:rsidR="0037779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FB4B85">
        <w:rPr>
          <w:rFonts w:ascii="Times New Roman" w:hAnsi="Times New Roman" w:cs="Times New Roman"/>
          <w:sz w:val="26"/>
          <w:szCs w:val="26"/>
        </w:rPr>
        <w:t>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7779F" w:rsidRPr="0037779F" w:rsidRDefault="0037779F" w:rsidP="00377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9F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образований, находящихся на территории Ульяновской области.</w:t>
      </w:r>
    </w:p>
    <w:p w:rsidR="0037779F" w:rsidRDefault="0037779F" w:rsidP="00377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79F">
        <w:rPr>
          <w:rFonts w:ascii="Times New Roman" w:hAnsi="Times New Roman" w:cs="Times New Roman"/>
          <w:sz w:val="28"/>
          <w:szCs w:val="28"/>
        </w:rPr>
        <w:t xml:space="preserve"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решения об </w:t>
      </w:r>
      <w:r w:rsidRPr="0037779F">
        <w:rPr>
          <w:rFonts w:ascii="Times New Roman" w:hAnsi="Times New Roman" w:cs="Times New Roman"/>
          <w:bCs/>
          <w:sz w:val="28"/>
          <w:szCs w:val="28"/>
        </w:rPr>
        <w:t>утверждении Положения о едином налоге на вменённый доход на территории их муниципального образования</w:t>
      </w:r>
      <w:r w:rsidRPr="0037779F">
        <w:rPr>
          <w:rFonts w:ascii="Times New Roman" w:hAnsi="Times New Roman" w:cs="Times New Roman"/>
          <w:sz w:val="28"/>
          <w:szCs w:val="28"/>
        </w:rPr>
        <w:t>. Но пониженная налоговая ставка утверждена только на территории Чердаклинского района.</w:t>
      </w:r>
    </w:p>
    <w:p w:rsidR="008D05BE" w:rsidRDefault="008D05BE" w:rsidP="00377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регионам: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367"/>
      </w:tblGrid>
      <w:tr w:rsidR="008D05BE" w:rsidTr="008D05BE">
        <w:tc>
          <w:tcPr>
            <w:tcW w:w="1809" w:type="dxa"/>
            <w:vMerge w:val="restart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762" w:type="dxa"/>
            <w:gridSpan w:val="2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ЕНВД, ставка налога 2018</w:t>
            </w:r>
          </w:p>
        </w:tc>
      </w:tr>
      <w:tr w:rsidR="008D05BE" w:rsidTr="008D05BE">
        <w:tc>
          <w:tcPr>
            <w:tcW w:w="1809" w:type="dxa"/>
            <w:vMerge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для ИП в отдельных муниципальных образованиях субъекта</w:t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Калужская область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7,5 %, если ИП является инвалидом, действует без наемных работников и в отношении ограниченных услуг</w:t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7,5 % для впервые зарегистрированных ИП после 01.01.2016 в отношении ограниченных услуг</w:t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10 % для деятельности по оказанию бытовых услуг (Белогорский район)</w:t>
            </w: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7,5 % для ИП, впервые зарегистрированных в пределах двух календарных лет для определенных услуг (</w:t>
            </w:r>
            <w:proofErr w:type="spellStart"/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A1A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7,5 % для ИП, впервые зарегистрированных с 01.07.2017 по 30.06.2018 в течение четырех налоговых периодов (г. Томск)</w:t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10 % (г. Кедровый)</w:t>
            </w: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7,5 % для ИП в населенных пунктах с численностью до 30 000 чел. в отношении ветеринарных и бытовых услуг; для ИП с деятельностью по ремонту и строительству жилья и др. построек (кроме индивидуальных домов) (</w:t>
            </w:r>
            <w:proofErr w:type="spellStart"/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A1A95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7,5 % для деятельности по ремонту мебели, розничной и развозной торговле, распространению наружной рекламы с автоматической сменой изображения (г. Горячий Ключ); для ветеринарной деятельности (Ленинградский р-н)</w:t>
            </w:r>
          </w:p>
        </w:tc>
      </w:tr>
      <w:tr w:rsidR="008D05BE" w:rsidTr="008D05BE">
        <w:tc>
          <w:tcPr>
            <w:tcW w:w="1809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395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5">
              <w:rPr>
                <w:rFonts w:ascii="Times New Roman" w:hAnsi="Times New Roman" w:cs="Times New Roman"/>
                <w:sz w:val="24"/>
                <w:szCs w:val="24"/>
              </w:rPr>
              <w:t xml:space="preserve">7,5 % на 2018 г. для впервые </w:t>
            </w:r>
            <w:proofErr w:type="gramStart"/>
            <w:r w:rsidRPr="00BA1A95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BA1A95">
              <w:rPr>
                <w:rFonts w:ascii="Times New Roman" w:hAnsi="Times New Roman" w:cs="Times New Roman"/>
                <w:sz w:val="24"/>
                <w:szCs w:val="24"/>
              </w:rPr>
              <w:t xml:space="preserve"> в 2016 г. (г. Нижний Новгород)</w:t>
            </w:r>
            <w:r w:rsidRPr="00BA1A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7" w:type="dxa"/>
          </w:tcPr>
          <w:p w:rsidR="008D05BE" w:rsidRPr="00BA1A95" w:rsidRDefault="008D05BE" w:rsidP="003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BE" w:rsidRDefault="008D05BE" w:rsidP="00377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B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8D05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http://ppt.ru/art/envd/stavka-tablica</w:t>
        </w:r>
      </w:hyperlink>
    </w:p>
    <w:p w:rsidR="008D05BE" w:rsidRPr="008D05BE" w:rsidRDefault="008D05BE" w:rsidP="00377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4544C3" w:rsidRDefault="00BA1A95" w:rsidP="00454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2017 года в консолидированный бюджет муниципального образования «Чердаклинский район» Ульяновской области поступило ЕНВД в сумме 8,9 млн. руб. или 92,4 % к уровню прошлого года. За 10 месяцев 2018 года 6,1 млн. руб. </w:t>
      </w:r>
    </w:p>
    <w:p w:rsidR="004544C3" w:rsidRPr="00F74840" w:rsidRDefault="004544C3" w:rsidP="00454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«Чердаклинский район» Ульяновской области </w:t>
      </w:r>
      <w:r w:rsidRPr="004544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544C3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4C3">
        <w:rPr>
          <w:rFonts w:ascii="Times New Roman" w:hAnsi="Times New Roman" w:cs="Times New Roman"/>
          <w:sz w:val="28"/>
          <w:szCs w:val="28"/>
        </w:rPr>
        <w:t xml:space="preserve"> открыто 160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4544C3">
        <w:rPr>
          <w:rFonts w:ascii="Times New Roman" w:hAnsi="Times New Roman" w:cs="Times New Roman"/>
          <w:sz w:val="28"/>
          <w:szCs w:val="28"/>
        </w:rPr>
        <w:t>закрыто 154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4C3">
        <w:rPr>
          <w:rFonts w:ascii="Times New Roman" w:hAnsi="Times New Roman" w:cs="Times New Roman"/>
          <w:sz w:val="28"/>
          <w:szCs w:val="28"/>
        </w:rPr>
        <w:t>за 9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4C3">
        <w:rPr>
          <w:rFonts w:ascii="Times New Roman" w:hAnsi="Times New Roman" w:cs="Times New Roman"/>
          <w:sz w:val="28"/>
          <w:szCs w:val="28"/>
        </w:rPr>
        <w:t xml:space="preserve"> 2018 закрыто 113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4C3">
        <w:rPr>
          <w:rFonts w:ascii="Times New Roman" w:hAnsi="Times New Roman" w:cs="Times New Roman"/>
          <w:sz w:val="28"/>
          <w:szCs w:val="28"/>
        </w:rPr>
        <w:t xml:space="preserve"> открыто 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8C" w:rsidRDefault="00BA1A95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4C3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4544C3">
        <w:rPr>
          <w:rFonts w:ascii="Times New Roman" w:hAnsi="Times New Roman" w:cs="Times New Roman"/>
          <w:sz w:val="28"/>
          <w:szCs w:val="28"/>
        </w:rPr>
        <w:t xml:space="preserve">орма 5-ЕНВД, представляемой налоговой службой численность </w:t>
      </w:r>
      <w:r w:rsidR="00991E26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4544C3">
        <w:rPr>
          <w:rFonts w:ascii="Times New Roman" w:hAnsi="Times New Roman" w:cs="Times New Roman"/>
          <w:sz w:val="28"/>
          <w:szCs w:val="28"/>
        </w:rPr>
        <w:t xml:space="preserve">, оплачивающих ЕНВД снижается.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3685"/>
        <w:gridCol w:w="3119"/>
      </w:tblGrid>
      <w:tr w:rsidR="004544C3" w:rsidRPr="008B4FFF" w:rsidTr="004544C3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t>Количество плательщиков ЕНВД</w:t>
            </w:r>
          </w:p>
        </w:tc>
      </w:tr>
      <w:tr w:rsidR="004544C3" w:rsidRPr="008B4FFF" w:rsidTr="004544C3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t xml:space="preserve"> На 01.01.2016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</w:tr>
      <w:tr w:rsidR="004544C3" w:rsidRPr="008B4FFF" w:rsidTr="004544C3"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C3" w:rsidRPr="004544C3" w:rsidRDefault="004544C3" w:rsidP="00020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</w:tbl>
    <w:p w:rsidR="004544C3" w:rsidRDefault="004544C3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данным, представленными МРИ ФНС №7 по Ульяновской области</w:t>
      </w:r>
      <w:r w:rsidR="00E74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A7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применивших </w:t>
      </w:r>
      <w:r>
        <w:rPr>
          <w:rFonts w:ascii="Times New Roman" w:hAnsi="Times New Roman" w:cs="Times New Roman"/>
          <w:sz w:val="28"/>
          <w:szCs w:val="28"/>
        </w:rPr>
        <w:t>пониженн</w:t>
      </w:r>
      <w:r w:rsidR="00E74A7C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E74A7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E74A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A7C">
        <w:rPr>
          <w:rFonts w:ascii="Times New Roman" w:hAnsi="Times New Roman" w:cs="Times New Roman"/>
          <w:sz w:val="28"/>
          <w:szCs w:val="28"/>
        </w:rPr>
        <w:t>по ЕНВД на территории Чердаклинского района в 2017 году составляет 4, за три квартала 2018 – 5.</w:t>
      </w:r>
      <w:proofErr w:type="gramEnd"/>
    </w:p>
    <w:p w:rsidR="00CA446C" w:rsidRPr="00F74840" w:rsidRDefault="00CA446C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F74840" w:rsidRPr="00F74840" w:rsidRDefault="00F74840" w:rsidP="00F7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 помощью данного способа регулирования вполне обоснованы. </w:t>
      </w:r>
    </w:p>
    <w:p w:rsidR="00F74840" w:rsidRPr="00F74840" w:rsidRDefault="00F74840" w:rsidP="00F7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На основе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>нной оценки регулирующего воздействия проекта акта с уч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том информации, предоставленной разработчиком, сделаны следующие выводы. </w:t>
      </w:r>
    </w:p>
    <w:p w:rsidR="00F74840" w:rsidRPr="00F74840" w:rsidRDefault="00F74840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74840">
        <w:rPr>
          <w:rFonts w:ascii="Times New Roman" w:hAnsi="Times New Roman" w:cs="Times New Roman"/>
          <w:sz w:val="28"/>
          <w:szCs w:val="28"/>
        </w:rPr>
        <w:t xml:space="preserve"> проекте акта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 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48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Чердаклинский</w:t>
      </w:r>
      <w:r w:rsidRPr="00F7484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74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85E53"/>
    <w:rsid w:val="000B4E8C"/>
    <w:rsid w:val="000E1C60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04633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137CB"/>
    <w:rsid w:val="00324288"/>
    <w:rsid w:val="00330940"/>
    <w:rsid w:val="003318BF"/>
    <w:rsid w:val="003440C2"/>
    <w:rsid w:val="00353C4B"/>
    <w:rsid w:val="00372135"/>
    <w:rsid w:val="003734C3"/>
    <w:rsid w:val="0037779F"/>
    <w:rsid w:val="00384B25"/>
    <w:rsid w:val="003856CD"/>
    <w:rsid w:val="003A6091"/>
    <w:rsid w:val="003B7C4C"/>
    <w:rsid w:val="003C4BE8"/>
    <w:rsid w:val="003E29AA"/>
    <w:rsid w:val="003F0EFD"/>
    <w:rsid w:val="003F2D9A"/>
    <w:rsid w:val="004314A6"/>
    <w:rsid w:val="00434E2F"/>
    <w:rsid w:val="004544C3"/>
    <w:rsid w:val="0049567D"/>
    <w:rsid w:val="004A19BE"/>
    <w:rsid w:val="004B062A"/>
    <w:rsid w:val="005004ED"/>
    <w:rsid w:val="00520357"/>
    <w:rsid w:val="00526752"/>
    <w:rsid w:val="005378F3"/>
    <w:rsid w:val="00572958"/>
    <w:rsid w:val="0058292B"/>
    <w:rsid w:val="00594DE3"/>
    <w:rsid w:val="005A6A74"/>
    <w:rsid w:val="005C1189"/>
    <w:rsid w:val="005D6FD1"/>
    <w:rsid w:val="005E7D16"/>
    <w:rsid w:val="00607640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B1835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8D05BE"/>
    <w:rsid w:val="00916433"/>
    <w:rsid w:val="00961AFD"/>
    <w:rsid w:val="009679F0"/>
    <w:rsid w:val="00991E26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A199B"/>
    <w:rsid w:val="00BA1A95"/>
    <w:rsid w:val="00BE6E57"/>
    <w:rsid w:val="00BF49E6"/>
    <w:rsid w:val="00C02B33"/>
    <w:rsid w:val="00C104D0"/>
    <w:rsid w:val="00C154E5"/>
    <w:rsid w:val="00C168CC"/>
    <w:rsid w:val="00C27B52"/>
    <w:rsid w:val="00C43148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2488D"/>
    <w:rsid w:val="00E44889"/>
    <w:rsid w:val="00E50F68"/>
    <w:rsid w:val="00E6679D"/>
    <w:rsid w:val="00E74A7C"/>
    <w:rsid w:val="00E74C05"/>
    <w:rsid w:val="00ED293E"/>
    <w:rsid w:val="00EE4553"/>
    <w:rsid w:val="00EE4799"/>
    <w:rsid w:val="00EF55D1"/>
    <w:rsid w:val="00F268D9"/>
    <w:rsid w:val="00F30128"/>
    <w:rsid w:val="00F72660"/>
    <w:rsid w:val="00F72C27"/>
    <w:rsid w:val="00F74840"/>
    <w:rsid w:val="00FA5414"/>
    <w:rsid w:val="00FA7271"/>
    <w:rsid w:val="00FB4B85"/>
    <w:rsid w:val="00FD522F"/>
    <w:rsid w:val="00FF320E"/>
    <w:rsid w:val="00FF3B8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.ru/art/envd/stavka-tabl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9</cp:revision>
  <cp:lastPrinted>2016-09-29T06:49:00Z</cp:lastPrinted>
  <dcterms:created xsi:type="dcterms:W3CDTF">2018-12-03T10:05:00Z</dcterms:created>
  <dcterms:modified xsi:type="dcterms:W3CDTF">2018-12-05T10:07:00Z</dcterms:modified>
</cp:coreProperties>
</file>