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r w:rsidR="008F76B3" w:rsidRPr="008F76B3">
        <w:rPr>
          <w:u w:val="single"/>
        </w:rPr>
        <w:t>Об утверждении административного регламента предоставления муниципальной услуги «</w:t>
      </w:r>
      <w:r w:rsidR="008F76B3" w:rsidRPr="008F76B3">
        <w:rPr>
          <w:rStyle w:val="aa"/>
          <w:b w:val="0"/>
          <w:u w:val="single"/>
        </w:rPr>
        <w:t>Предоставление разрешения на проведение земляных работ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8F76B3">
        <w:rPr>
          <w:u w:val="single"/>
        </w:rPr>
        <w:t>февраль-март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Default="0024415C" w:rsidP="005B0582">
      <w:pPr>
        <w:ind w:firstLine="709"/>
        <w:jc w:val="both"/>
      </w:pPr>
      <w:r>
        <w:rPr>
          <w:u w:val="single"/>
        </w:rPr>
        <w:t>П</w:t>
      </w:r>
      <w:r w:rsidR="00F7518A" w:rsidRPr="00F7518A">
        <w:rPr>
          <w:u w:val="single"/>
        </w:rPr>
        <w:t>остановлени</w:t>
      </w:r>
      <w:r>
        <w:rPr>
          <w:u w:val="single"/>
        </w:rPr>
        <w:t>е</w:t>
      </w:r>
      <w:r w:rsidR="00F7518A" w:rsidRPr="00F7518A">
        <w:rPr>
          <w:u w:val="single"/>
        </w:rPr>
        <w:t xml:space="preserve">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="00F7518A" w:rsidRPr="00F7518A">
        <w:rPr>
          <w:rStyle w:val="aa"/>
          <w:b w:val="0"/>
          <w:u w:val="single"/>
        </w:rPr>
        <w:t>Предоставление разрешения на проведение земляных работ</w:t>
      </w:r>
      <w:r w:rsidR="00F7518A" w:rsidRPr="00F7518A">
        <w:rPr>
          <w:u w:val="single"/>
        </w:rPr>
        <w:t>» разработан в соответствии с Федеральным законом от 27.07.2010 № 210-ФЗ «Об организации предоставления государственных и муниципальных услуг»</w:t>
      </w:r>
      <w:r w:rsidR="00E14651" w:rsidRPr="00E14651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>Проект постановления утверждает административный регламент по выдаче разрешения на проведение земляных работ на территории муниципального образования «</w:t>
      </w:r>
      <w:proofErr w:type="spellStart"/>
      <w:r w:rsidRPr="002C166C">
        <w:rPr>
          <w:u w:val="single"/>
        </w:rPr>
        <w:t>Чердаклинское</w:t>
      </w:r>
      <w:proofErr w:type="spellEnd"/>
      <w:r w:rsidRPr="002C166C">
        <w:rPr>
          <w:u w:val="single"/>
        </w:rPr>
        <w:t xml:space="preserve"> городское поселение» Чердаклинского района Ульяновской области.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2C166C" w:rsidP="005B0582">
      <w:pPr>
        <w:ind w:firstLine="709"/>
        <w:jc w:val="both"/>
        <w:rPr>
          <w:u w:val="single"/>
        </w:rPr>
      </w:pPr>
      <w:r w:rsidRPr="002C166C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Pr="002C166C">
        <w:rPr>
          <w:rStyle w:val="aa"/>
          <w:b w:val="0"/>
          <w:u w:val="single"/>
        </w:rPr>
        <w:t>Предоставление разрешения на проведение земляных работ</w:t>
      </w:r>
      <w:r w:rsidRPr="002C166C">
        <w:rPr>
          <w:u w:val="single"/>
        </w:rPr>
        <w:t>» обусловлено необходимостью приведения в соответствие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2C166C">
        <w:rPr>
          <w:u w:val="single"/>
        </w:rPr>
        <w:t>09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2C166C">
        <w:rPr>
          <w:u w:val="single"/>
        </w:rPr>
        <w:t xml:space="preserve">января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2C166C">
        <w:rPr>
          <w:u w:val="single"/>
        </w:rPr>
        <w:t>08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2C166C">
        <w:rPr>
          <w:u w:val="single"/>
        </w:rPr>
        <w:t>февраля</w:t>
      </w:r>
      <w:r w:rsidR="009B2687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202F60" w:rsidRDefault="00A12B57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>На данный момент на территории муниципального образования «Чердаклинский район» Ульяновской области отсутствует нормативное закрепление предоставления услуги по выдаче разрешения на проведение земляных работ. П</w:t>
      </w:r>
      <w:r w:rsidRPr="00F7518A">
        <w:rPr>
          <w:szCs w:val="24"/>
          <w:u w:val="single"/>
        </w:rPr>
        <w:t>остановлени</w:t>
      </w:r>
      <w:r>
        <w:rPr>
          <w:szCs w:val="24"/>
          <w:u w:val="single"/>
        </w:rPr>
        <w:t>е</w:t>
      </w:r>
      <w:r w:rsidRPr="00F7518A">
        <w:rPr>
          <w:szCs w:val="24"/>
          <w:u w:val="single"/>
        </w:rPr>
        <w:t xml:space="preserve">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Pr="00F7518A">
        <w:rPr>
          <w:rStyle w:val="aa"/>
          <w:b w:val="0"/>
          <w:szCs w:val="24"/>
          <w:u w:val="single"/>
        </w:rPr>
        <w:t>Предоставление разрешения на проведение земляных работ</w:t>
      </w:r>
      <w:r w:rsidRPr="00F7518A">
        <w:rPr>
          <w:szCs w:val="24"/>
          <w:u w:val="single"/>
        </w:rPr>
        <w:t>» разработан в соответствии с Федеральным законом от 27.07.2010 № 210-ФЗ «Об организации предоставления государственных и муниципальных услуг»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F15B3D" w:rsidRDefault="00F15B3D" w:rsidP="00F15B3D">
            <w:pPr>
              <w:pStyle w:val="Default"/>
            </w:pPr>
            <w:r>
              <w:t>Постановление администрации пригородного сельского поселения Ярославской области Пошехонского района от 11.03.2016 г. № 31 «Об утверждении Административного регламента по предоставлению муниципальной</w:t>
            </w:r>
          </w:p>
          <w:p w:rsidR="00A12B57" w:rsidRPr="005917BB" w:rsidRDefault="00F15B3D" w:rsidP="00F15B3D">
            <w:pPr>
              <w:pStyle w:val="Default"/>
            </w:pPr>
            <w:r>
              <w:t xml:space="preserve"> услуги «Выдача разрешений на производство земляных работ».</w:t>
            </w:r>
          </w:p>
        </w:tc>
        <w:tc>
          <w:tcPr>
            <w:tcW w:w="6769" w:type="dxa"/>
          </w:tcPr>
          <w:p w:rsidR="00A12B57" w:rsidRPr="00F47822" w:rsidRDefault="00F15B3D" w:rsidP="00F47822">
            <w:pPr>
              <w:widowControl w:val="0"/>
              <w:autoSpaceDE w:val="0"/>
              <w:autoSpaceDN w:val="0"/>
              <w:adjustRightInd w:val="0"/>
            </w:pPr>
            <w:r w:rsidRPr="00F47822">
              <w:rPr>
                <w:b/>
              </w:rPr>
              <w:t>Результат</w:t>
            </w:r>
            <w:r w:rsidRPr="00F47822">
              <w:t xml:space="preserve"> предоставления муниципальной услуги - выдача разрешений на производство земляных работ на территории Пригородного сельского поселения</w:t>
            </w:r>
            <w:r w:rsidR="00F47822">
              <w:t>.</w:t>
            </w:r>
          </w:p>
          <w:p w:rsidR="00F15B3D" w:rsidRPr="00F47822" w:rsidRDefault="00F15B3D" w:rsidP="00F47822">
            <w:pPr>
              <w:widowControl w:val="0"/>
              <w:autoSpaceDE w:val="0"/>
              <w:autoSpaceDN w:val="0"/>
              <w:adjustRightInd w:val="0"/>
            </w:pPr>
            <w:r w:rsidRPr="00F47822">
              <w:t xml:space="preserve">Разрешение на производство земляных работ </w:t>
            </w:r>
            <w:r w:rsidRPr="00F47822">
              <w:rPr>
                <w:b/>
              </w:rPr>
              <w:t>выдается в течение месяца</w:t>
            </w:r>
            <w:r w:rsidRPr="00F47822">
              <w:t xml:space="preserve"> со дня представления</w:t>
            </w:r>
            <w:r w:rsidR="00F47822">
              <w:t>.</w:t>
            </w:r>
          </w:p>
          <w:p w:rsidR="00F15B3D" w:rsidRPr="00F47822" w:rsidRDefault="00F15B3D" w:rsidP="00F478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47822">
              <w:rPr>
                <w:b/>
              </w:rPr>
              <w:t>Перечень документов</w:t>
            </w:r>
            <w:r w:rsidRPr="00F47822">
              <w:t>, необходимых в соответствии с законодательными или иными нормативными правовыми актами для оказания муниципальной услуги:</w:t>
            </w:r>
            <w:r w:rsidRPr="00F47822">
              <w:br/>
              <w:t>а)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      </w:r>
            <w:r w:rsidRPr="00F47822">
              <w:br/>
              <w:t>б) документ, удостоверяющий полномочия представителя заявителя, в случае подачи заявления представителем заявителя;</w:t>
            </w:r>
            <w:proofErr w:type="gramEnd"/>
            <w:r w:rsidRPr="00F47822">
              <w:br/>
            </w:r>
            <w:proofErr w:type="gramStart"/>
            <w:r w:rsidRPr="00F47822">
              <w:t>в) заявление о выдаче разрешения по форме или в свободной форме с указанием сведений;</w:t>
            </w:r>
            <w:r w:rsidRPr="00F47822">
              <w:br/>
              <w:t>г) проектно-сметная документация, согласованная в установленном порядке;</w:t>
            </w:r>
            <w:r w:rsidRPr="00F47822">
              <w:br/>
              <w:t>д) копия договора на вскрытие дорожного полотна (тротуара, грунта) для проведения аварийных или плановых работ на подземных инженерных коммуникациях;</w:t>
            </w:r>
            <w:r w:rsidRPr="00F47822">
              <w:br/>
              <w:t xml:space="preserve">е) копия договора на восстановление дорожного покрытия и </w:t>
            </w:r>
            <w:r w:rsidRPr="00F47822">
              <w:lastRenderedPageBreak/>
              <w:t>элементов внешнего благоустройства территории, прилегающей к месту проведения земляных работ;</w:t>
            </w:r>
            <w:proofErr w:type="gramEnd"/>
            <w:r w:rsidRPr="00F47822">
              <w:br/>
            </w:r>
            <w:proofErr w:type="gramStart"/>
            <w:r w:rsidRPr="00F47822">
              <w:t>ж) копия плана земельного участка, на котором обозначены трассы инженерных коммуникаций, с указанием границ земляных работ;</w:t>
            </w:r>
            <w:r w:rsidRPr="00F47822">
              <w:br/>
              <w:t>з) план обеспечения мер безопасности на период производства работ (ограждение, освещение, установка дорожных знаков и т.д.);</w:t>
            </w:r>
            <w:r w:rsidRPr="00F47822">
              <w:br/>
              <w:t>и) предполагаемый график проведения работ (даты начала и окончания работ, режим работы в течение суток и рабочей недели);</w:t>
            </w:r>
            <w:proofErr w:type="gramEnd"/>
            <w:r w:rsidRPr="00F47822">
              <w:br/>
              <w:t>к) разрешение на вырубку деревьев (кустарников) (при необходимости вырубки деревьев, кустарников).</w:t>
            </w:r>
            <w:r w:rsidRPr="00F47822">
              <w:br/>
            </w:r>
            <w:r w:rsidRPr="00F47822">
              <w:rPr>
                <w:b/>
              </w:rPr>
              <w:t>Плата за предоставление</w:t>
            </w:r>
            <w:r w:rsidRPr="00F47822">
              <w:t xml:space="preserve"> муниципальной услуги не взимается.</w:t>
            </w:r>
          </w:p>
          <w:p w:rsidR="00F15B3D" w:rsidRPr="00F47822" w:rsidRDefault="00F15B3D" w:rsidP="00F47822">
            <w:pPr>
              <w:widowControl w:val="0"/>
              <w:autoSpaceDE w:val="0"/>
              <w:autoSpaceDN w:val="0"/>
              <w:adjustRightInd w:val="0"/>
            </w:pPr>
            <w:r w:rsidRPr="00F47822">
              <w:rPr>
                <w:b/>
              </w:rPr>
              <w:t>Основания для отказа</w:t>
            </w:r>
            <w:r w:rsidRPr="00F47822">
              <w:t xml:space="preserve"> в предоставлении муниципальной усл</w:t>
            </w:r>
            <w:r w:rsidR="00F47822">
              <w:t>уги:</w:t>
            </w:r>
            <w:r w:rsidRPr="00F47822">
              <w:br/>
            </w:r>
            <w:proofErr w:type="gramStart"/>
            <w:r w:rsidRPr="00F47822">
              <w:t>Решение об отказе в предоставлении муниципальной услуги принимается в случаях:</w:t>
            </w:r>
            <w:r w:rsidRPr="00F47822">
              <w:br/>
              <w:t>а) при наличии одного из оснований для оставления обращения без ответа, предусмотренных Федеральным законом от 02.05.2006 N 59-ФЗ "О порядке рассмотрения обращений граждан Российской Федерации";</w:t>
            </w:r>
            <w:r w:rsidRPr="00F47822">
              <w:br/>
              <w:t>б) непредставление полного комплекта документов, необходимых для получения разрешения, указанных в пункте 2.5 настоящего административного регламента;</w:t>
            </w:r>
            <w:proofErr w:type="gramEnd"/>
            <w:r w:rsidRPr="00F47822">
              <w:br/>
              <w:t>в) не устранение выявленных замечаний по ранее выданным разрешениям (до устранения соответствующих замечаний);</w:t>
            </w:r>
            <w:r w:rsidRPr="00F47822">
              <w:br/>
              <w:t>г)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      </w:r>
            <w:r w:rsidRPr="00F47822">
              <w:br/>
              <w:t>д) обращения неуполномоченного лица, в случае если за предоставлением услуги обратился не заявитель, а представитель заявителя;</w:t>
            </w:r>
            <w:r w:rsidRPr="00F47822">
              <w:br/>
              <w:t>е) обнаружение в представленных документах технических ошибок, наличие которых препятствует предоставлению муниципальной услуги.</w:t>
            </w:r>
          </w:p>
        </w:tc>
      </w:tr>
      <w:tr w:rsidR="00A12B57" w:rsidTr="00F47822">
        <w:tc>
          <w:tcPr>
            <w:tcW w:w="2802" w:type="dxa"/>
          </w:tcPr>
          <w:p w:rsidR="00A12B57" w:rsidRDefault="00F47822" w:rsidP="00F47822">
            <w:pPr>
              <w:pStyle w:val="Default"/>
              <w:jc w:val="both"/>
            </w:pPr>
            <w:r w:rsidRPr="00F47822">
              <w:rPr>
                <w:color w:val="auto"/>
              </w:rPr>
              <w:lastRenderedPageBreak/>
              <w:t xml:space="preserve">Постановление </w:t>
            </w:r>
            <w:r w:rsidR="005C52C5">
              <w:rPr>
                <w:rStyle w:val="aa"/>
                <w:b w:val="0"/>
                <w:color w:val="auto"/>
              </w:rPr>
              <w:t>а</w:t>
            </w:r>
            <w:r w:rsidRPr="00F47822">
              <w:rPr>
                <w:rStyle w:val="aa"/>
                <w:b w:val="0"/>
                <w:color w:val="auto"/>
              </w:rPr>
              <w:t>дминистрация Медведского сельского поселения</w:t>
            </w:r>
            <w:r w:rsidRPr="00F47822">
              <w:rPr>
                <w:b/>
                <w:color w:val="auto"/>
              </w:rPr>
              <w:t xml:space="preserve"> </w:t>
            </w:r>
            <w:r w:rsidRPr="00F47822">
              <w:rPr>
                <w:rStyle w:val="aa"/>
                <w:b w:val="0"/>
                <w:color w:val="auto"/>
              </w:rPr>
              <w:t xml:space="preserve">Новгородская область </w:t>
            </w:r>
            <w:proofErr w:type="spellStart"/>
            <w:r w:rsidRPr="00F47822">
              <w:rPr>
                <w:rStyle w:val="aa"/>
                <w:b w:val="0"/>
                <w:color w:val="auto"/>
              </w:rPr>
              <w:t>Шимский</w:t>
            </w:r>
            <w:proofErr w:type="spellEnd"/>
            <w:r w:rsidRPr="00F47822">
              <w:rPr>
                <w:rStyle w:val="aa"/>
                <w:b w:val="0"/>
                <w:color w:val="auto"/>
              </w:rPr>
              <w:t xml:space="preserve"> район от </w:t>
            </w:r>
            <w:r w:rsidRPr="00F47822">
              <w:rPr>
                <w:b/>
                <w:color w:val="auto"/>
              </w:rPr>
              <w:t xml:space="preserve"> </w:t>
            </w:r>
            <w:r w:rsidRPr="00F47822">
              <w:rPr>
                <w:color w:val="auto"/>
              </w:rPr>
              <w:t>22.08.2017 № 79</w:t>
            </w:r>
            <w:r w:rsidRPr="00F47822">
              <w:rPr>
                <w:b/>
                <w:color w:val="auto"/>
              </w:rPr>
              <w:t xml:space="preserve"> «</w:t>
            </w:r>
            <w:r w:rsidRPr="00F47822">
              <w:rPr>
                <w:rStyle w:val="aa"/>
                <w:b w:val="0"/>
                <w:color w:val="auto"/>
              </w:rPr>
              <w:t xml:space="preserve">Об утверждении административного регламента предоставления муниципальной услуги по выдаче  разрешений (ордеров) на право  производства </w:t>
            </w:r>
            <w:r w:rsidRPr="00F47822">
              <w:rPr>
                <w:rStyle w:val="aa"/>
                <w:b w:val="0"/>
                <w:color w:val="auto"/>
              </w:rPr>
              <w:lastRenderedPageBreak/>
              <w:t>земляных работ на территории Медведского сельского поселения»</w:t>
            </w:r>
          </w:p>
        </w:tc>
        <w:tc>
          <w:tcPr>
            <w:tcW w:w="6769" w:type="dxa"/>
          </w:tcPr>
          <w:p w:rsidR="00F47822" w:rsidRPr="00F47822" w:rsidRDefault="00F47822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F47822">
              <w:rPr>
                <w:b/>
                <w:lang w:eastAsia="ru-RU"/>
              </w:rPr>
              <w:lastRenderedPageBreak/>
              <w:t>Результатами</w:t>
            </w:r>
            <w:r w:rsidRPr="00F47822">
              <w:rPr>
                <w:lang w:eastAsia="ru-RU"/>
              </w:rPr>
              <w:t xml:space="preserve"> предоставления муниципальной услуги являются:</w:t>
            </w:r>
            <w:r w:rsidR="00D341FD">
              <w:rPr>
                <w:lang w:eastAsia="ru-RU"/>
              </w:rPr>
              <w:t xml:space="preserve"> </w:t>
            </w:r>
            <w:r w:rsidRPr="00F47822">
              <w:rPr>
                <w:lang w:eastAsia="ru-RU"/>
              </w:rPr>
              <w:t>выдача ордера на право производства земляных работ;</w:t>
            </w:r>
            <w:r w:rsidR="00D341FD">
              <w:rPr>
                <w:lang w:eastAsia="ru-RU"/>
              </w:rPr>
              <w:t xml:space="preserve"> </w:t>
            </w:r>
            <w:r w:rsidRPr="00F47822">
              <w:rPr>
                <w:lang w:eastAsia="ru-RU"/>
              </w:rPr>
              <w:t>отказ в выдаче ордера на право производства земляных работ с указанием причины отказа;</w:t>
            </w:r>
            <w:r w:rsidR="00D341FD">
              <w:rPr>
                <w:lang w:eastAsia="ru-RU"/>
              </w:rPr>
              <w:t xml:space="preserve"> </w:t>
            </w:r>
            <w:r w:rsidRPr="00F47822">
              <w:rPr>
                <w:lang w:eastAsia="ru-RU"/>
              </w:rPr>
              <w:t>приём выполненных работ по восстановлению благоустройства после проведения земляных работ.</w:t>
            </w:r>
          </w:p>
          <w:p w:rsidR="00A12B57" w:rsidRPr="00D341FD" w:rsidRDefault="00F47822" w:rsidP="00D34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1FD">
              <w:t xml:space="preserve">Администрация поселения предоставляет муниципальную услугу в </w:t>
            </w:r>
            <w:r w:rsidRPr="00D341FD">
              <w:rPr>
                <w:b/>
              </w:rPr>
              <w:t>срок не более 15 календарных дней</w:t>
            </w:r>
            <w:r w:rsidRPr="00D341FD">
              <w:t xml:space="preserve"> со дня регистрации заявления (уведомления) с полным комплектом необходимых документов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 xml:space="preserve">Для получения ордера Заявитель представляет в Администрацию Медведского сельского поселения следующие </w:t>
            </w:r>
            <w:r w:rsidRPr="00D341FD">
              <w:rPr>
                <w:b/>
                <w:lang w:eastAsia="ru-RU"/>
              </w:rPr>
              <w:t>документы и материалы</w:t>
            </w:r>
            <w:r w:rsidRPr="00D341FD">
              <w:rPr>
                <w:lang w:eastAsia="ru-RU"/>
              </w:rPr>
              <w:t>: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 xml:space="preserve">1) Заявление, заполненное по установленной форме с </w:t>
            </w:r>
            <w:r w:rsidRPr="00D341FD">
              <w:rPr>
                <w:lang w:eastAsia="ru-RU"/>
              </w:rPr>
              <w:lastRenderedPageBreak/>
              <w:t>гарантийным обязательством по восстановлению нарушаемого благоустройства;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2) Проектную документацию с графическими материалами масштабом 1:1000 или 1:500, согласованную со следующими организациями (лицами):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а) владельцами инженерных сооружений и коммуникаций, расположенных в зоне производства земляных работ;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б) правообладателями земельных участков, на территории которых будут производиться земляные работы;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в) 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3) Копию свидетельства о допуске к работам согласно перечню, утвержденному приказом Министерства регионального развития РФ от 30 декабря 2009 года №624;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4) Копию Выписки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5) Копии договоров заказчика на выполнение подрядных работ на данный объект (при их наличии);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6) Копии договоров с подрядными организациями, привлекаемыми для проведения восстановительных работ по благоустройству (для организаций, предприятий, не имеющих возможности выполнить работы по восстановлению благоустройства своими силами);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7) Гарантийное обязательство производителя работ по восстановлению нарушенного благоустройства по форме.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t>Муниципальная услуга предоставляется бесплатно.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b/>
                <w:lang w:eastAsia="ru-RU"/>
              </w:rPr>
              <w:t>Основаниями для отказа</w:t>
            </w:r>
            <w:r w:rsidRPr="00D341FD">
              <w:rPr>
                <w:lang w:eastAsia="ru-RU"/>
              </w:rPr>
              <w:t xml:space="preserve"> в предоставлении муниципальной услуги являются: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1) непредставление документов, указанных в пункте 2.6. настоящего Административного регламента;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2) документы, представленные заявителем, не соответствуют требованиям настоящего Административного регламента;</w:t>
            </w:r>
          </w:p>
          <w:p w:rsidR="00D341FD" w:rsidRP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3) представление документов ненадлежащим лицом;</w:t>
            </w:r>
          </w:p>
          <w:p w:rsidR="00D341FD" w:rsidRDefault="00D341FD" w:rsidP="00D341FD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lang w:eastAsia="ru-RU"/>
              </w:rPr>
              <w:t>4) наличие в представленных документах исправлений, серьезных повреждений, не позволяющих однозначно истолковать их содержание.</w:t>
            </w:r>
          </w:p>
        </w:tc>
      </w:tr>
      <w:tr w:rsidR="005C52C5" w:rsidTr="00F47822">
        <w:tc>
          <w:tcPr>
            <w:tcW w:w="2802" w:type="dxa"/>
          </w:tcPr>
          <w:p w:rsidR="005C52C5" w:rsidRPr="00F47822" w:rsidRDefault="005C52C5" w:rsidP="00324142">
            <w:r w:rsidRPr="005C52C5">
              <w:lastRenderedPageBreak/>
              <w:t xml:space="preserve">Постановление </w:t>
            </w:r>
            <w:r w:rsidRPr="005C52C5">
              <w:rPr>
                <w:rStyle w:val="aa"/>
                <w:b w:val="0"/>
              </w:rPr>
              <w:t>администрации</w:t>
            </w:r>
            <w:r w:rsidRPr="005C52C5">
              <w:rPr>
                <w:b/>
              </w:rPr>
              <w:t xml:space="preserve"> </w:t>
            </w:r>
            <w:r w:rsidRPr="005C52C5">
              <w:t>муниципального образования «</w:t>
            </w:r>
            <w:proofErr w:type="spellStart"/>
            <w:r w:rsidRPr="005C52C5">
              <w:t>Вешкаймский</w:t>
            </w:r>
            <w:proofErr w:type="spellEnd"/>
            <w:r w:rsidRPr="005C52C5">
              <w:t xml:space="preserve"> район» Ульяновской области от 12.01.2018 № 16 «Об утверждении административного регламента по предоставлению муниципальной услуги  </w:t>
            </w:r>
            <w:r w:rsidRPr="005C52C5">
              <w:lastRenderedPageBreak/>
              <w:t>«Выдача разрешения (ордера) на проведение земляных работ на террит</w:t>
            </w:r>
            <w:r w:rsidR="00324142">
              <w:t xml:space="preserve">ории муниципального образования </w:t>
            </w:r>
            <w:r w:rsidRPr="005C52C5">
              <w:t>«</w:t>
            </w:r>
            <w:proofErr w:type="spellStart"/>
            <w:r w:rsidRPr="005C52C5">
              <w:t>Вешкаймский</w:t>
            </w:r>
            <w:proofErr w:type="spellEnd"/>
            <w:r w:rsidRPr="005C52C5">
              <w:t xml:space="preserve"> район» Ульяновской области»</w:t>
            </w:r>
          </w:p>
        </w:tc>
        <w:tc>
          <w:tcPr>
            <w:tcW w:w="6769" w:type="dxa"/>
          </w:tcPr>
          <w:p w:rsidR="00324142" w:rsidRPr="00DF329F" w:rsidRDefault="00324142" w:rsidP="00DF32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2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Результатами</w:t>
            </w:r>
            <w:r w:rsidRPr="00DF3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муниципальной услуги являются </w:t>
            </w:r>
            <w:r w:rsidRPr="00DF329F">
              <w:rPr>
                <w:rFonts w:ascii="Times New Roman" w:hAnsi="Times New Roman"/>
                <w:sz w:val="24"/>
                <w:szCs w:val="24"/>
              </w:rPr>
              <w:t>выдача ордера на проведение земляных работ либо мотивированный отказ в предоставлении муниципальной услуги.</w:t>
            </w:r>
            <w:r w:rsidRPr="00DF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4142" w:rsidRPr="00DF329F" w:rsidRDefault="00324142" w:rsidP="00DF329F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9F">
              <w:rPr>
                <w:rFonts w:ascii="Times New Roman" w:hAnsi="Times New Roman"/>
                <w:b/>
                <w:sz w:val="24"/>
                <w:szCs w:val="24"/>
              </w:rPr>
              <w:t>Общий срок</w:t>
            </w:r>
            <w:r w:rsidRPr="00DF329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не должен превышать </w:t>
            </w:r>
            <w:r w:rsidRPr="00FE7686">
              <w:rPr>
                <w:rFonts w:ascii="Times New Roman" w:hAnsi="Times New Roman"/>
                <w:b/>
                <w:sz w:val="24"/>
                <w:szCs w:val="24"/>
              </w:rPr>
              <w:t>тридцати дней</w:t>
            </w:r>
            <w:r w:rsidRPr="00DF329F">
              <w:rPr>
                <w:rFonts w:ascii="Times New Roman" w:hAnsi="Times New Roman"/>
                <w:sz w:val="24"/>
                <w:szCs w:val="24"/>
              </w:rPr>
              <w:t xml:space="preserve"> со дня приёма от заявителя полного пакета документов.</w:t>
            </w:r>
          </w:p>
          <w:p w:rsidR="00324142" w:rsidRPr="00DF329F" w:rsidRDefault="00324142" w:rsidP="00DF329F">
            <w:pPr>
              <w:jc w:val="both"/>
            </w:pPr>
            <w:r w:rsidRPr="00DF329F">
              <w:rPr>
                <w:b/>
              </w:rPr>
              <w:t>Документы</w:t>
            </w:r>
            <w:r w:rsidRPr="00DF329F">
              <w:t xml:space="preserve"> и информация, которые заявитель должен представить самостоятельно:</w:t>
            </w:r>
          </w:p>
          <w:p w:rsidR="00324142" w:rsidRPr="00DF329F" w:rsidRDefault="00324142" w:rsidP="00DF329F">
            <w:pPr>
              <w:autoSpaceDE w:val="0"/>
              <w:jc w:val="both"/>
            </w:pPr>
            <w:r w:rsidRPr="00DF329F">
              <w:t xml:space="preserve">1) заявление о выдаче разрешение (ордера) на проведение земляных работ. К оформлению заявления предъявляются следующие требования: заявление должно быть подписано  </w:t>
            </w:r>
            <w:r w:rsidRPr="00DF329F">
              <w:lastRenderedPageBreak/>
              <w:t>разборчивым подчерком, с указанием фамилии, имени, отчества (последнее при наличии) Заявителя, адреса электронной почты, если ответ должен быть направлен в форме электронного документа, и почтового адреса, если  ответ должен быть направлен в письменной форме.</w:t>
            </w:r>
          </w:p>
          <w:p w:rsidR="00324142" w:rsidRPr="00DF329F" w:rsidRDefault="00324142" w:rsidP="00DF329F">
            <w:pPr>
              <w:autoSpaceDE w:val="0"/>
              <w:jc w:val="both"/>
            </w:pPr>
            <w:r w:rsidRPr="00DF329F">
              <w:t>2)  копии документов, удостоверяющих личность гражданина.</w:t>
            </w:r>
          </w:p>
          <w:p w:rsidR="00324142" w:rsidRPr="00DF329F" w:rsidRDefault="00324142" w:rsidP="00DF329F">
            <w:pPr>
              <w:autoSpaceDE w:val="0"/>
              <w:jc w:val="both"/>
            </w:pPr>
            <w:r w:rsidRPr="00DF329F">
              <w:t>3) копии документа, подтверждающего полномочия лица на осуществление действий от имени Заявителя;</w:t>
            </w:r>
          </w:p>
          <w:p w:rsidR="00324142" w:rsidRPr="00DF329F" w:rsidRDefault="00324142" w:rsidP="00DF329F">
            <w:pPr>
              <w:pStyle w:val="consplusnormal"/>
              <w:spacing w:before="0" w:beforeAutospacing="0" w:after="0" w:afterAutospacing="0"/>
              <w:jc w:val="both"/>
            </w:pPr>
            <w:r w:rsidRPr="00DF329F">
              <w:t>4) проект проведения работ, согласованный с заинтересованными службами, организациями, предприятиями, организациями, отвечающими за сохранность инженерных коммуникаций, - предоставляется в 1 экземпляре, оригинал возвращается заявителю по окончании предоставления муниципальной услуги;</w:t>
            </w:r>
          </w:p>
          <w:p w:rsidR="00324142" w:rsidRPr="00DF329F" w:rsidRDefault="00324142" w:rsidP="00DF329F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F329F">
              <w:t xml:space="preserve">5) схема земельного участка, с нанесенными инженерными коммуникациями и согласованиями </w:t>
            </w:r>
            <w:proofErr w:type="spellStart"/>
            <w:r w:rsidRPr="00DF329F">
              <w:t>ресурсоснабжающих</w:t>
            </w:r>
            <w:proofErr w:type="spellEnd"/>
            <w:r w:rsidRPr="00DF329F">
              <w:t xml:space="preserve"> организаций (тепл</w:t>
            </w:r>
            <w:proofErr w:type="gramStart"/>
            <w:r w:rsidRPr="00DF329F">
              <w:t>о-</w:t>
            </w:r>
            <w:proofErr w:type="gramEnd"/>
            <w:r w:rsidRPr="00DF329F">
              <w:t>, водо-, газо-, электроснабжение, водоотведение, услуги связи);</w:t>
            </w:r>
          </w:p>
          <w:p w:rsidR="00324142" w:rsidRPr="00DF329F" w:rsidRDefault="00324142" w:rsidP="00DF329F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F329F">
              <w:t>6) схема движения транспорта и пешеходов, согласованная с государственной инспекцией по безопасности дорожного движения (далее - ГИБДД), - предоставляется в 1 экземпляре, оригинал возвращается заявителю по окончании предоставления муниципальной услуги;</w:t>
            </w:r>
          </w:p>
          <w:p w:rsidR="00324142" w:rsidRPr="00DF329F" w:rsidRDefault="00324142" w:rsidP="00DF329F">
            <w:pPr>
              <w:pStyle w:val="consplusnormal"/>
              <w:spacing w:before="0" w:beforeAutospacing="0" w:after="0" w:afterAutospacing="0"/>
              <w:jc w:val="both"/>
            </w:pPr>
            <w:r w:rsidRPr="00DF329F">
              <w:t>7) календарный график производства работ о восстановлении благоустройства земельного участка, согласованный с собственником земельного участка, на территории которого будут проводиться работы по строительству, реконструкции, ремонту коммуникаций, - предоставляется в 1 экземпляре, оригинал возвращается заявителю по окончании предоставления муниципальной услуги.</w:t>
            </w:r>
          </w:p>
          <w:p w:rsidR="00324142" w:rsidRPr="00DF329F" w:rsidRDefault="00324142" w:rsidP="00DF329F">
            <w:pPr>
              <w:pStyle w:val="consplusnormal"/>
              <w:spacing w:before="0" w:beforeAutospacing="0" w:after="0" w:afterAutospacing="0"/>
              <w:jc w:val="both"/>
            </w:pPr>
            <w:r w:rsidRPr="00DF329F">
              <w:rPr>
                <w:b/>
              </w:rPr>
              <w:t>Основаниями для отказа</w:t>
            </w:r>
            <w:r w:rsidRPr="00DF329F">
              <w:t xml:space="preserve"> в предоставлении муниципальной услуги, являются:</w:t>
            </w:r>
          </w:p>
          <w:p w:rsidR="00324142" w:rsidRPr="00DF329F" w:rsidRDefault="00324142" w:rsidP="00DF329F">
            <w:pPr>
              <w:pStyle w:val="consplusnormal"/>
              <w:spacing w:before="0" w:beforeAutospacing="0" w:after="0" w:afterAutospacing="0"/>
              <w:jc w:val="both"/>
            </w:pPr>
            <w:r w:rsidRPr="00DF329F">
              <w:t>- отсутствуют документы, указанные в</w:t>
            </w:r>
            <w:r w:rsidRPr="00DF329F">
              <w:rPr>
                <w:rStyle w:val="apple-converted-space"/>
              </w:rPr>
              <w:t> </w:t>
            </w:r>
            <w:r w:rsidRPr="00DF329F">
              <w:t>регламент</w:t>
            </w:r>
            <w:r w:rsidR="00DF329F">
              <w:t>е</w:t>
            </w:r>
            <w:r w:rsidRPr="00DF329F">
              <w:t>;</w:t>
            </w:r>
          </w:p>
          <w:p w:rsidR="00DF329F" w:rsidRDefault="00324142" w:rsidP="00324142">
            <w:pPr>
              <w:shd w:val="clear" w:color="auto" w:fill="F9F9F9"/>
              <w:suppressAutoHyphens w:val="0"/>
              <w:jc w:val="both"/>
            </w:pPr>
            <w:r w:rsidRPr="00DF329F">
              <w:t>- земельный участок расположен за пределами территории муниципального образования «</w:t>
            </w:r>
            <w:proofErr w:type="spellStart"/>
            <w:r w:rsidRPr="00DF329F">
              <w:t>Вешкаймский</w:t>
            </w:r>
            <w:proofErr w:type="spellEnd"/>
            <w:r w:rsidRPr="00DF329F">
              <w:t xml:space="preserve"> район» Ульяновской области. </w:t>
            </w:r>
          </w:p>
          <w:p w:rsidR="005C52C5" w:rsidRPr="00F47822" w:rsidRDefault="00324142" w:rsidP="00324142">
            <w:pPr>
              <w:shd w:val="clear" w:color="auto" w:fill="F9F9F9"/>
              <w:suppressAutoHyphens w:val="0"/>
              <w:jc w:val="both"/>
              <w:rPr>
                <w:b/>
                <w:lang w:eastAsia="ru-RU"/>
              </w:rPr>
            </w:pPr>
            <w:r w:rsidRPr="00DF329F">
              <w:t xml:space="preserve">Предоставление данной муниципальной услуги </w:t>
            </w:r>
            <w:r w:rsidRPr="00DF329F">
              <w:rPr>
                <w:b/>
              </w:rPr>
              <w:t>осуществляется бесплатно</w:t>
            </w:r>
            <w:r w:rsidRPr="00DF329F">
              <w:t>.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288B" w:rsidRPr="001E1730" w:rsidRDefault="00C335A8" w:rsidP="001E1730">
      <w:pPr>
        <w:pStyle w:val="a3"/>
        <w:ind w:firstLine="708"/>
        <w:jc w:val="both"/>
        <w:rPr>
          <w:szCs w:val="24"/>
          <w:u w:val="single"/>
        </w:rPr>
      </w:pPr>
      <w:r>
        <w:rPr>
          <w:rFonts w:eastAsiaTheme="minorHAnsi"/>
          <w:iCs/>
          <w:u w:val="single"/>
          <w:lang w:eastAsia="en-US"/>
        </w:rPr>
        <w:t xml:space="preserve">Постановлением регламентируются сроки предоставления муниципальной услуги (12 </w:t>
      </w:r>
      <w:r w:rsidRPr="00C335A8">
        <w:rPr>
          <w:spacing w:val="2"/>
          <w:szCs w:val="24"/>
          <w:u w:val="single"/>
          <w:lang w:eastAsia="ru-RU"/>
        </w:rPr>
        <w:t>рабочих дней со дня регистрации Заявления с приложением документов, необходимых для пред</w:t>
      </w:r>
      <w:r>
        <w:rPr>
          <w:spacing w:val="2"/>
          <w:szCs w:val="24"/>
          <w:u w:val="single"/>
          <w:lang w:eastAsia="ru-RU"/>
        </w:rPr>
        <w:t>оставления муниципальной услуги</w:t>
      </w:r>
      <w:r w:rsidRPr="00C335A8">
        <w:rPr>
          <w:rFonts w:eastAsiaTheme="minorHAnsi"/>
          <w:iCs/>
          <w:szCs w:val="24"/>
          <w:u w:val="single"/>
          <w:lang w:eastAsia="en-US"/>
        </w:rPr>
        <w:t>)</w:t>
      </w:r>
      <w:r w:rsidR="001E1730">
        <w:rPr>
          <w:rFonts w:eastAsiaTheme="minorHAnsi"/>
          <w:iCs/>
          <w:szCs w:val="24"/>
          <w:u w:val="single"/>
          <w:lang w:eastAsia="en-US"/>
        </w:rPr>
        <w:t xml:space="preserve">, </w:t>
      </w:r>
      <w:r w:rsidR="001E1730">
        <w:rPr>
          <w:spacing w:val="2"/>
          <w:szCs w:val="24"/>
          <w:u w:val="single"/>
          <w:lang w:eastAsia="ru-RU"/>
        </w:rPr>
        <w:t>и</w:t>
      </w:r>
      <w:r w:rsidR="001E1730" w:rsidRPr="001E1730">
        <w:rPr>
          <w:spacing w:val="2"/>
          <w:szCs w:val="24"/>
          <w:u w:val="single"/>
          <w:lang w:eastAsia="ru-RU"/>
        </w:rPr>
        <w:t>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D151A3">
        <w:rPr>
          <w:spacing w:val="2"/>
          <w:szCs w:val="24"/>
          <w:u w:val="single"/>
          <w:lang w:eastAsia="ru-RU"/>
        </w:rPr>
        <w:t xml:space="preserve">, основания </w:t>
      </w:r>
      <w:r w:rsidR="00D151A3" w:rsidRPr="00D151A3">
        <w:rPr>
          <w:szCs w:val="24"/>
          <w:u w:val="single"/>
        </w:rPr>
        <w:t>для отказа в предоставлении муниципальной услуги</w:t>
      </w:r>
      <w:r w:rsidR="001E1730" w:rsidRPr="00D151A3">
        <w:rPr>
          <w:spacing w:val="2"/>
          <w:szCs w:val="24"/>
          <w:u w:val="single"/>
          <w:lang w:eastAsia="ru-RU"/>
        </w:rPr>
        <w:t xml:space="preserve">. </w:t>
      </w: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7303DD" w:rsidRPr="00240C80" w:rsidRDefault="00D151A3" w:rsidP="007303DD">
      <w:pPr>
        <w:spacing w:after="240"/>
        <w:jc w:val="both"/>
        <w:rPr>
          <w:rFonts w:eastAsia="Calibri"/>
          <w:u w:val="single"/>
        </w:rPr>
      </w:pPr>
      <w:r w:rsidRPr="00240C80">
        <w:rPr>
          <w:u w:val="single"/>
        </w:rPr>
        <w:t xml:space="preserve">Муниципальная услуга предоставляется </w:t>
      </w:r>
      <w:r w:rsidRPr="00240C80">
        <w:rPr>
          <w:spacing w:val="2"/>
          <w:u w:val="single"/>
          <w:lang w:eastAsia="ru-RU"/>
        </w:rPr>
        <w:t xml:space="preserve">юридическим лицам, физическим лицам, являющимися заказчиками производства работ, либо владельцам </w:t>
      </w:r>
      <w:proofErr w:type="gramStart"/>
      <w:r w:rsidRPr="00240C80">
        <w:rPr>
          <w:spacing w:val="2"/>
          <w:u w:val="single"/>
          <w:lang w:eastAsia="ru-RU"/>
        </w:rPr>
        <w:t>коммуникаций</w:t>
      </w:r>
      <w:proofErr w:type="gramEnd"/>
      <w:r w:rsidRPr="00240C80">
        <w:rPr>
          <w:spacing w:val="2"/>
          <w:u w:val="single"/>
          <w:lang w:eastAsia="ru-RU"/>
        </w:rPr>
        <w:t xml:space="preserve"> либо их уполномоченным представителям.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 xml:space="preserve">для субъектов предпринимательской, инвестиционной и иной деятельности либо изменение содержания существующих </w:t>
      </w:r>
      <w:r w:rsidRPr="00B463B9">
        <w:rPr>
          <w:u w:val="single"/>
        </w:rPr>
        <w:lastRenderedPageBreak/>
        <w:t>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F43EE9">
        <w:rPr>
          <w:u w:val="single"/>
          <w:lang w:eastAsia="ru-RU"/>
        </w:rPr>
        <w:t xml:space="preserve">май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F57928">
        <w:t>09</w:t>
      </w:r>
      <w:r w:rsidRPr="007D37FC">
        <w:t>»</w:t>
      </w:r>
      <w:r w:rsidR="005F6247">
        <w:t xml:space="preserve"> </w:t>
      </w:r>
      <w:r w:rsidR="00F57928">
        <w:t>января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F57928">
        <w:t>08</w:t>
      </w:r>
      <w:r w:rsidRPr="007D37FC">
        <w:t>»</w:t>
      </w:r>
      <w:r w:rsidR="005F6247">
        <w:t xml:space="preserve"> </w:t>
      </w:r>
      <w:r w:rsidR="00F57928">
        <w:t>февраля</w:t>
      </w:r>
      <w:r w:rsidR="00F43EE9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57239B">
        <w:t>7</w:t>
      </w:r>
      <w:bookmarkStart w:id="0" w:name="_GoBack"/>
      <w:bookmarkEnd w:id="0"/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C610E7" w:rsidRPr="00C610E7">
        <w:rPr>
          <w:u w:val="single"/>
        </w:rPr>
        <w:t>Об утверждении  Положения о рабочей группе по разработке и внесению изменений в схему размещения объектов нестационарной торговли на территории муниципального образования «Чердаклинский район» Ульяновской области</w:t>
      </w:r>
      <w:r w:rsidR="00381362" w:rsidRPr="00792890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C610E7">
        <w:rPr>
          <w:u w:val="single"/>
        </w:rPr>
        <w:t>28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1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C610E7">
        <w:rPr>
          <w:u w:val="single"/>
        </w:rPr>
        <w:t>28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2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57239B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</w:t>
            </w:r>
            <w:r>
              <w:lastRenderedPageBreak/>
              <w:t>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 xml:space="preserve">МКУ «Благоустройство и обслуживание населения Чердаклинского городского поселения» Чердаклинского </w:t>
            </w:r>
            <w:r w:rsidRPr="00F57928">
              <w:lastRenderedPageBreak/>
              <w:t>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lastRenderedPageBreak/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5CA9"/>
    <w:rsid w:val="00324142"/>
    <w:rsid w:val="0032470B"/>
    <w:rsid w:val="00325ED0"/>
    <w:rsid w:val="00340833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A123CE"/>
    <w:rsid w:val="00A12B57"/>
    <w:rsid w:val="00A14D7B"/>
    <w:rsid w:val="00A41520"/>
    <w:rsid w:val="00A421F8"/>
    <w:rsid w:val="00A57BB6"/>
    <w:rsid w:val="00A9713C"/>
    <w:rsid w:val="00AA223A"/>
    <w:rsid w:val="00AC46F9"/>
    <w:rsid w:val="00AD41C4"/>
    <w:rsid w:val="00AF5377"/>
    <w:rsid w:val="00B20208"/>
    <w:rsid w:val="00B463B9"/>
    <w:rsid w:val="00B648EC"/>
    <w:rsid w:val="00B91F94"/>
    <w:rsid w:val="00BC1538"/>
    <w:rsid w:val="00BD4E82"/>
    <w:rsid w:val="00BF36E2"/>
    <w:rsid w:val="00C335A8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93C30"/>
    <w:rsid w:val="00DB2E28"/>
    <w:rsid w:val="00DD7788"/>
    <w:rsid w:val="00DE4339"/>
    <w:rsid w:val="00DF329F"/>
    <w:rsid w:val="00DF64E7"/>
    <w:rsid w:val="00E06BB6"/>
    <w:rsid w:val="00E14651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43EE9"/>
    <w:rsid w:val="00F47822"/>
    <w:rsid w:val="00F57928"/>
    <w:rsid w:val="00F7518A"/>
    <w:rsid w:val="00F8758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3C34-EF8D-4404-BF80-3FAFBCD7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31</cp:revision>
  <dcterms:created xsi:type="dcterms:W3CDTF">2019-08-01T05:27:00Z</dcterms:created>
  <dcterms:modified xsi:type="dcterms:W3CDTF">2019-09-06T06:31:00Z</dcterms:modified>
</cp:coreProperties>
</file>