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Ульяновцы, выбравшие бумажную трудовую книжку, </w:t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 xml:space="preserve">вправе подать заявление о переходе на электронную 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b w:val="false"/>
          <w:bCs w:val="false"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 xml:space="preserve">Работники должны были принять решение о способе ведения трудовой книжки и сообщить об этом своему работодателю до 31 декабря 2020 года. Если   гражданин сохранил бумажную трудовую, но сейчас решил перейти на электронную, он вправе подать соответствующее заявление своему работодателю. При выборе </w:t>
      </w:r>
      <w:r>
        <w:rPr>
          <w:rFonts w:cs="Times New Roman"/>
          <w:b w:val="false"/>
          <w:bCs w:val="false"/>
          <w:sz w:val="28"/>
          <w:szCs w:val="28"/>
        </w:rPr>
        <w:t xml:space="preserve">электронного формата ведения трудовой деятельности, бумажную трудовую книжку отдадут работнику. </w:t>
      </w:r>
    </w:p>
    <w:p>
      <w:pPr>
        <w:pStyle w:val="Style19"/>
        <w:widowControl/>
        <w:tabs>
          <w:tab w:val="left" w:pos="720" w:leader="none"/>
        </w:tabs>
        <w:suppressAutoHyphens w:val="true"/>
        <w:bidi w:val="0"/>
        <w:spacing w:lineRule="auto" w:line="276"/>
        <w:ind w:left="-57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         </w:t>
      </w:r>
      <w:r>
        <w:rPr>
          <w:rFonts w:cs="Times New Roman"/>
          <w:b w:val="false"/>
          <w:bCs w:val="false"/>
          <w:sz w:val="28"/>
          <w:szCs w:val="28"/>
        </w:rPr>
        <w:t>У тех, кто впервые устроится на работу в 2021 году и позже, сведения будут вестись только в электронном виде без оформления бумажной трудовой книжки.</w:t>
      </w:r>
    </w:p>
    <w:p>
      <w:pPr>
        <w:pStyle w:val="2"/>
        <w:numPr>
          <w:ilvl w:val="1"/>
          <w:numId w:val="3"/>
        </w:numPr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>Напомним о преимуществах электронной трудовой книжки: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sz w:val="28"/>
        </w:rPr>
        <w:t>Удобный и быстрый доступ работников к информации о трудовой деятельности.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sz w:val="28"/>
        </w:rPr>
        <w:t>Минимизация ошибочных, неточных и недостоверных сведений о трудовой деятельности.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sz w:val="28"/>
        </w:rPr>
        <w:t>Дополнительные возможности дистанционного трудоустройства.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sz w:val="28"/>
        </w:rPr>
        <w:t>Дистанционное оформление пенсий по данным лицевого счета без дополнительного документального подтверждения.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sz w:val="28"/>
        </w:rPr>
        <w:t>Использование данных электронной трудовой книжки для получения государственных услуг.</w:t>
      </w:r>
    </w:p>
    <w:p>
      <w:pPr>
        <w:pStyle w:val="Style19"/>
        <w:numPr>
          <w:ilvl w:val="0"/>
          <w:numId w:val="4"/>
        </w:numPr>
        <w:tabs>
          <w:tab w:val="left" w:pos="0" w:leader="none"/>
        </w:tabs>
        <w:spacing w:lineRule="auto" w:line="276"/>
        <w:ind w:firstLine="709"/>
        <w:jc w:val="both"/>
        <w:rPr>
          <w:rFonts w:ascii="Times New Roman" w:hAnsi="Times New Roman"/>
        </w:rPr>
      </w:pPr>
      <w:r>
        <w:rPr>
          <w:sz w:val="28"/>
        </w:rPr>
        <w:t>Высокий уровень безопасности и сохранности данных.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     </w:t>
      </w:r>
      <w:r>
        <w:rPr>
          <w:rFonts w:cs="Times New Roman"/>
          <w:b w:val="false"/>
          <w:bCs w:val="false"/>
          <w:sz w:val="28"/>
          <w:szCs w:val="28"/>
        </w:rPr>
        <w:t>По данным Отделения Пенсионного фонда РФ по Ульяновской области, с начала года уже подано около 34 тысяч заявлений от ульяновцев, выбравших электронный учёт трудовой деятельности.</w:t>
      </w:r>
      <w:r>
        <w:rPr>
          <w:rFonts w:cs="Times New Roman"/>
          <w:b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/>
          <w:b/>
          <w:bCs w:val="false"/>
          <w:sz w:val="28"/>
          <w:szCs w:val="28"/>
        </w:rPr>
        <w:t xml:space="preserve">      </w:t>
      </w:r>
      <w:r>
        <w:rPr>
          <w:rFonts w:cs="Times New Roman"/>
          <w:b w:val="false"/>
          <w:bCs w:val="false"/>
          <w:sz w:val="28"/>
          <w:szCs w:val="28"/>
        </w:rPr>
        <w:t xml:space="preserve">Посмотреть сведения из электронной книжки можно в личном кабинете на сайте ПФР </w:t>
      </w:r>
      <w:hyperlink r:id="rId2" w:tgtFrame="_blank">
        <w:r>
          <w:rPr>
            <w:rStyle w:val="Style10"/>
            <w:rFonts w:cs="Times New Roman"/>
            <w:b w:val="false"/>
            <w:bCs w:val="false"/>
            <w:sz w:val="28"/>
            <w:szCs w:val="28"/>
          </w:rPr>
          <w:t>es.pfrf.ru</w:t>
        </w:r>
      </w:hyperlink>
      <w:r>
        <w:rPr>
          <w:rFonts w:cs="Times New Roman"/>
          <w:b w:val="false"/>
          <w:bCs w:val="false"/>
          <w:sz w:val="28"/>
          <w:szCs w:val="28"/>
        </w:rPr>
        <w:t xml:space="preserve"> или на портале госуслуг. При необходимости сведения из трудовой книжки можно получить в виде бумажной выписки у последнего работодателя, в Пенсионном фонде или МФЦ. 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Добавим, переход на электронные трудовые книжки является добровольным и осуществляется только по заявлению. </w:t>
      </w:r>
    </w:p>
    <w:sectPr>
      <w:headerReference w:type="default" r:id="rId3"/>
      <w:footerReference w:type="default" r:id="rId4"/>
      <w:type w:val="nextPage"/>
      <w:pgSz w:w="11906" w:h="16838"/>
      <w:pgMar w:left="1260" w:right="926" w:header="567" w:top="2516" w:footer="567" w:bottom="10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Wingdings 3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0" w:right="360" w:hanging="0"/>
      <w:rPr>
        <w:lang w:val="ru-RU" w:eastAsia="ru-RU"/>
      </w:rPr>
    </w:pPr>
    <w:r>
      <w:rPr>
        <w:lang w:val="ru-RU" w:eastAsia="ru-RU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6040" cy="148590"/>
              <wp:effectExtent l="0" t="0" r="0" b="0"/>
              <wp:wrapSquare wrapText="largest"/>
              <wp:docPr id="7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" cy="14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9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9"/>
                            </w:rPr>
                            <w:instrText> PAGE </w:instrText>
                          </w:r>
                          <w:r>
                            <w:rPr>
                              <w:rStyle w:val="Style9"/>
                            </w:rPr>
                            <w:fldChar w:fldCharType="separate"/>
                          </w:r>
                          <w:r>
                            <w:rPr>
                              <w:rStyle w:val="Style9"/>
                            </w:rPr>
                            <w:t>1</w:t>
                          </w:r>
                          <w:r>
                            <w:rPr>
                              <w:rStyle w:val="Style9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543.9pt;margin-top:0.05pt;width:5.1pt;height:11.6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9"/>
                        <w:color w:val="000000"/>
                      </w:rPr>
                      <w:fldChar w:fldCharType="begin"/>
                    </w:r>
                    <w:r>
                      <w:rPr>
                        <w:rStyle w:val="Style9"/>
                      </w:rPr>
                      <w:instrText> PAGE </w:instrText>
                    </w:r>
                    <w:r>
                      <w:rPr>
                        <w:rStyle w:val="Style9"/>
                      </w:rPr>
                      <w:fldChar w:fldCharType="separate"/>
                    </w:r>
                    <w:r>
                      <w:rPr>
                        <w:rStyle w:val="Style9"/>
                      </w:rPr>
                      <w:t>1</w:t>
                    </w:r>
                    <w:r>
                      <w:rPr>
                        <w:rStyle w:val="Style9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6">
              <wp:simplePos x="0" y="0"/>
              <wp:positionH relativeFrom="column">
                <wp:posOffset>-21590</wp:posOffset>
              </wp:positionH>
              <wp:positionV relativeFrom="paragraph">
                <wp:posOffset>-22860</wp:posOffset>
              </wp:positionV>
              <wp:extent cx="6356350" cy="3810"/>
              <wp:effectExtent l="0" t="0" r="0" b="0"/>
              <wp:wrapNone/>
              <wp:docPr id="9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580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75pt,-1.85pt" to="498.65pt,-1.75pt" ID="Изображение2" stroked="t" style="position:absolute">
              <v:stroke color="black" weight="12600" joinstyle="miter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401945" cy="1263015"/>
              <wp:effectExtent l="0" t="0" r="0" b="0"/>
              <wp:wrapNone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440" cy="1262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rFonts w:ascii="Arial" w:hAnsi="Arial" w:cs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rFonts w:ascii="Arial" w:hAnsi="Arial" w:cs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pacing w:val="30"/>
                              <w:w w:val="120"/>
                              <w:sz w:val="24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</w:rPr>
                            <w:br/>
                          </w: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000000"/>
                            </w:rPr>
                            <w:t>Отделение Пенсионного фонда по Ульяновской области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>Pfr.gov.ru</w:t>
                          </w:r>
                        </w:p>
                        <w:p>
                          <w:pPr>
                            <w:pStyle w:val="Normal"/>
                            <w:jc w:val="right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000000"/>
                            </w:rPr>
                            <w:t>13.04.2021</w:t>
                          </w:r>
                        </w:p>
                        <w:p>
                          <w:pPr>
                            <w:pStyle w:val="1"/>
                            <w:numPr>
                              <w:ilvl w:val="0"/>
                              <w:numId w:val="2"/>
                            </w:numPr>
                            <w:tabs>
                              <w:tab w:val="left" w:pos="0" w:leader="none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72.9pt;margin-top:0.45pt;width:425.25pt;height:99.3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rFonts w:ascii="Arial" w:hAnsi="Arial" w:cs="Arial"/>
                        <w:color w:val="000000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30"/>
                        <w:w w:val="120"/>
                        <w:sz w:val="24"/>
                      </w:rPr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rFonts w:ascii="Arial" w:hAnsi="Arial" w:cs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cs="Arial" w:ascii="Arial" w:hAnsi="Arial"/>
                        <w:color w:val="000000"/>
                        <w:spacing w:val="30"/>
                        <w:w w:val="120"/>
                        <w:sz w:val="24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color w:val="auto"/>
                      </w:rPr>
                    </w:pPr>
                    <w:r>
                      <w:rPr>
                        <w:rFonts w:cs="Arial" w:ascii="Arial" w:hAnsi="Arial"/>
                        <w:color w:val="000000"/>
                      </w:rPr>
                      <w:br/>
                    </w:r>
                    <w:r>
                      <w:rPr>
                        <w:rFonts w:cs="Arial" w:ascii="Arial" w:hAnsi="Arial"/>
                        <w:b w:val="false"/>
                        <w:i/>
                        <w:color w:val="000000"/>
                      </w:rPr>
                      <w:t>Отделение Пенсионного фонда по Ульяновской области</w:t>
                    </w:r>
                  </w:p>
                  <w:p>
                    <w:pPr>
                      <w:pStyle w:val="Normal"/>
                      <w:jc w:val="center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>Pfr.gov.ru</w:t>
                    </w:r>
                  </w:p>
                  <w:p>
                    <w:pPr>
                      <w:pStyle w:val="Normal"/>
                      <w:jc w:val="right"/>
                      <w:rPr>
                        <w:color w:val="auto"/>
                      </w:rPr>
                    </w:pPr>
                    <w:r>
                      <w:rPr>
                        <w:color w:val="000000"/>
                      </w:rPr>
                      <w:t>13.04.2021</w:t>
                    </w:r>
                  </w:p>
                  <w:p>
                    <w:pPr>
                      <w:pStyle w:val="1"/>
                      <w:numPr>
                        <w:ilvl w:val="0"/>
                        <w:numId w:val="2"/>
                      </w:numPr>
                      <w:tabs>
                        <w:tab w:val="left" w:pos="0" w:leader="none"/>
                      </w:tabs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914400</wp:posOffset>
              </wp:positionH>
              <wp:positionV relativeFrom="paragraph">
                <wp:posOffset>1071880</wp:posOffset>
              </wp:positionV>
              <wp:extent cx="5259070" cy="3810"/>
              <wp:effectExtent l="0" t="0" r="0" b="0"/>
              <wp:wrapNone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852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pt,84.35pt" to="486pt,84.45pt" ID="Изображение1" stroked="t" style="position:absolute">
              <v:stroke color="black" weight="12600" joinstyle="miter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2971800</wp:posOffset>
              </wp:positionH>
              <wp:positionV relativeFrom="paragraph">
                <wp:posOffset>1068705</wp:posOffset>
              </wp:positionV>
              <wp:extent cx="1373505" cy="422275"/>
              <wp:effectExtent l="0" t="0" r="0" b="0"/>
              <wp:wrapNone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3040" cy="42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234pt;margin-top:84.15pt;width:108.05pt;height:33.1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7570" cy="889635"/>
          <wp:effectExtent l="0" t="0" r="0" b="0"/>
          <wp:wrapNone/>
          <wp:docPr id="6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3" t="-102" r="-103" b="-102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 3" w:hAnsi="Wingdings 3" w:cs="Wingdings 3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 3" w:hAnsi="Wingdings 3" w:cs="Wingdings 3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 3" w:hAnsi="Wingdings 3" w:cs="Wingdings 3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b w:val="false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b w:val="false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 3" w:hAnsi="Wingdings 3" w:cs="Wingdings 3"/>
    </w:rPr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  <w:sz w:val="20"/>
    </w:rPr>
  </w:style>
  <w:style w:type="character" w:styleId="WW8Num41z1">
    <w:name w:val="WW8Num41z1"/>
    <w:qFormat/>
    <w:rPr>
      <w:rFonts w:ascii="Courier New" w:hAnsi="Courier New" w:cs="Courier New"/>
      <w:sz w:val="20"/>
    </w:rPr>
  </w:style>
  <w:style w:type="character" w:styleId="WW8Num41z2">
    <w:name w:val="WW8Num41z2"/>
    <w:qFormat/>
    <w:rPr>
      <w:rFonts w:ascii="Wingdings" w:hAnsi="Wingdings" w:cs="Wingdings"/>
      <w:sz w:val="20"/>
    </w:rPr>
  </w:style>
  <w:style w:type="character" w:styleId="WW8Num42z0">
    <w:name w:val="WW8Num42z0"/>
    <w:qFormat/>
    <w:rPr>
      <w:rFonts w:ascii="Symbol" w:hAnsi="Symbol" w:cs="Symbol"/>
      <w:sz w:val="20"/>
    </w:rPr>
  </w:style>
  <w:style w:type="character" w:styleId="WW8Num42z1">
    <w:name w:val="WW8Num42z1"/>
    <w:qFormat/>
    <w:rPr>
      <w:rFonts w:ascii="Courier New" w:hAnsi="Courier New" w:cs="Courier New"/>
      <w:sz w:val="20"/>
    </w:rPr>
  </w:style>
  <w:style w:type="character" w:styleId="WW8Num42z2">
    <w:name w:val="WW8Num42z2"/>
    <w:qFormat/>
    <w:rPr>
      <w:rFonts w:ascii="Wingdings" w:hAnsi="Wingdings" w:cs="Wingdings"/>
      <w:sz w:val="20"/>
    </w:rPr>
  </w:style>
  <w:style w:type="character" w:styleId="WW8Num43z0">
    <w:name w:val="WW8Num43z0"/>
    <w:qFormat/>
    <w:rPr>
      <w:rFonts w:ascii="Wingdings 3" w:hAnsi="Wingdings 3" w:cs="Wingdings 3"/>
    </w:rPr>
  </w:style>
  <w:style w:type="character" w:styleId="WW8Num44z0">
    <w:name w:val="WW8Num44z0"/>
    <w:qFormat/>
    <w:rPr>
      <w:rFonts w:ascii="Wingdings 3" w:hAnsi="Wingdings 3" w:cs="Wingdings 3"/>
    </w:rPr>
  </w:style>
  <w:style w:type="character" w:styleId="WW8Num45z0">
    <w:name w:val="WW8Num45z0"/>
    <w:qFormat/>
    <w:rPr>
      <w:rFonts w:ascii="Wingdings 3" w:hAnsi="Wingdings 3" w:cs="Wingdings 3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Style8">
    <w:name w:val="Основной шрифт абзаца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>
      <w:rFonts w:ascii="Wingdings" w:hAnsi="Wingdings" w:cs="Wingdings"/>
      <w:sz w:val="2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11">
    <w:name w:val="Основной шрифт абзаца1"/>
    <w:qFormat/>
    <w:rPr/>
  </w:style>
  <w:style w:type="character" w:styleId="Style9">
    <w:name w:val="Номер страницы"/>
    <w:basedOn w:val="11"/>
    <w:rPr/>
  </w:style>
  <w:style w:type="character" w:styleId="Style10">
    <w:name w:val="Интернет-ссылка"/>
    <w:rPr>
      <w:strike w:val="false"/>
      <w:dstrike w:val="false"/>
      <w:color w:val="001CAC"/>
      <w:u w:val="none"/>
    </w:rPr>
  </w:style>
  <w:style w:type="character" w:styleId="Style11">
    <w:name w:val="Выделение"/>
    <w:qFormat/>
    <w:rPr>
      <w:i/>
      <w:iCs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Символ сноски"/>
    <w:qFormat/>
    <w:rPr>
      <w:vertAlign w:val="superscript"/>
    </w:rPr>
  </w:style>
  <w:style w:type="character" w:styleId="Style14">
    <w:name w:val="Символ концевой сноски"/>
    <w:qFormat/>
    <w:rPr>
      <w:vertAlign w:val="superscript"/>
    </w:rPr>
  </w:style>
  <w:style w:type="character" w:styleId="HTML">
    <w:name w:val="Стандартный HTML Знак"/>
    <w:qFormat/>
    <w:rPr>
      <w:rFonts w:ascii="Courier New" w:hAnsi="Courier New" w:cs="Courier New"/>
      <w:lang w:val="ru-RU" w:bidi="ar-SA"/>
    </w:rPr>
  </w:style>
  <w:style w:type="character" w:styleId="Style15">
    <w:name w:val="Текст документа Знак Знак"/>
    <w:qFormat/>
    <w:rPr>
      <w:rFonts w:eastAsia="Verdana"/>
      <w:color w:val="000000"/>
      <w:sz w:val="24"/>
      <w:szCs w:val="24"/>
    </w:rPr>
  </w:style>
  <w:style w:type="character" w:styleId="31">
    <w:name w:val="Заголовок 3 Знак"/>
    <w:qFormat/>
    <w:rPr>
      <w:rFonts w:ascii="Arial" w:hAnsi="Arial" w:eastAsia="SimSun;宋体" w:cs="Arial"/>
      <w:b/>
      <w:bCs/>
      <w:sz w:val="26"/>
      <w:szCs w:val="26"/>
    </w:rPr>
  </w:style>
  <w:style w:type="character" w:styleId="Style16">
    <w:name w:val="Текст документа Знак"/>
    <w:qFormat/>
    <w:rPr>
      <w:rFonts w:eastAsia="Verdana"/>
      <w:color w:val="000000"/>
      <w:sz w:val="24"/>
      <w:szCs w:val="24"/>
    </w:rPr>
  </w:style>
  <w:style w:type="character" w:styleId="FontStyle11">
    <w:name w:val="Font Style11"/>
    <w:qFormat/>
    <w:rPr>
      <w:rFonts w:ascii="Times New Roman" w:hAnsi="Times New Roman" w:cs="Times New Roman"/>
      <w:sz w:val="26"/>
      <w:szCs w:val="26"/>
    </w:rPr>
  </w:style>
  <w:style w:type="character" w:styleId="Style17">
    <w:name w:val="Посещённая гиперссылка"/>
    <w:rPr>
      <w:color w:val="800080"/>
      <w:u w:val="single"/>
    </w:rPr>
  </w:style>
  <w:style w:type="character" w:styleId="Appleconvertedspace">
    <w:name w:val="apple-converted-space"/>
    <w:qFormat/>
    <w:rPr/>
  </w:style>
  <w:style w:type="character" w:styleId="ListLabel100">
    <w:name w:val="ListLabel 100"/>
    <w:qFormat/>
    <w:rPr>
      <w:rFonts w:ascii="Arial" w:hAnsi="Arial" w:cs="OpenSymbol"/>
      <w:sz w:val="28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Times New Roman" w:hAnsi="Times New Roman" w:cs="OpenSymbol"/>
      <w:sz w:val="28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ListLabel119">
    <w:name w:val="ListLabel 119"/>
    <w:qFormat/>
    <w:rPr>
      <w:rFonts w:ascii="Times New Roman" w:hAnsi="Times New Roman" w:cs="OpenSymbol"/>
      <w:sz w:val="28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Times New Roman"/>
      <w:b w:val="false"/>
      <w:bCs w:val="false"/>
      <w:sz w:val="28"/>
      <w:szCs w:val="28"/>
    </w:rPr>
  </w:style>
  <w:style w:type="character" w:styleId="ListLabel129">
    <w:name w:val="ListLabel 129"/>
    <w:qFormat/>
    <w:rPr>
      <w:rFonts w:ascii="Times New Roman" w:hAnsi="Times New Roman" w:cs="OpenSymbol"/>
      <w:sz w:val="28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Times New Roman"/>
      <w:b w:val="false"/>
      <w:bCs w:val="false"/>
      <w:sz w:val="28"/>
      <w:szCs w:val="28"/>
    </w:rPr>
  </w:style>
  <w:style w:type="character" w:styleId="ListLabel139">
    <w:name w:val="ListLabel 139"/>
    <w:qFormat/>
    <w:rPr>
      <w:rFonts w:ascii="Times New Roman" w:hAnsi="Times New Roman" w:cs="OpenSymbol"/>
      <w:sz w:val="28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Times New Roman"/>
      <w:b w:val="false"/>
      <w:bCs w:val="false"/>
      <w:sz w:val="28"/>
      <w:szCs w:val="28"/>
    </w:rPr>
  </w:style>
  <w:style w:type="character" w:styleId="ListLabel149">
    <w:name w:val="ListLabel 149"/>
    <w:qFormat/>
    <w:rPr>
      <w:rFonts w:ascii="Times New Roman" w:hAnsi="Times New Roman" w:cs="OpenSymbol"/>
      <w:sz w:val="28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Times New Roman"/>
      <w:b w:val="false"/>
      <w:bCs w:val="false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9">
    <w:name w:val="Body Text"/>
    <w:basedOn w:val="Normal"/>
    <w:pPr>
      <w:jc w:val="both"/>
    </w:pPr>
    <w:rPr>
      <w:szCs w:val="28"/>
    </w:rPr>
  </w:style>
  <w:style w:type="paragraph" w:styleId="Style20">
    <w:name w:val="List"/>
    <w:basedOn w:val="Style19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Style23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4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6">
    <w:name w:val="Body Text Indent"/>
    <w:basedOn w:val="Normal"/>
    <w:pPr>
      <w:ind w:left="0" w:right="0" w:firstLine="708"/>
      <w:jc w:val="both"/>
    </w:pPr>
    <w:rPr>
      <w:rFonts w:eastAsia="Arial Unicode MS"/>
      <w:szCs w:val="20"/>
    </w:rPr>
  </w:style>
  <w:style w:type="paragraph" w:styleId="Style27">
    <w:name w:val="Обычный (веб)"/>
    <w:basedOn w:val="Normal"/>
    <w:qFormat/>
    <w:pPr>
      <w:spacing w:before="280" w:after="280"/>
    </w:pPr>
    <w:rPr>
      <w:rFonts w:ascii="Verdana" w:hAnsi="Verdana" w:cs="Verdana"/>
      <w:sz w:val="16"/>
      <w:szCs w:val="16"/>
    </w:rPr>
  </w:style>
  <w:style w:type="paragraph" w:styleId="14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8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5">
    <w:name w:val="Название объекта1"/>
    <w:basedOn w:val="Normal"/>
    <w:next w:val="Normal"/>
    <w:qFormat/>
    <w:pPr/>
    <w:rPr>
      <w:b/>
      <w:bCs/>
      <w:sz w:val="20"/>
      <w:szCs w:val="20"/>
    </w:rPr>
  </w:style>
  <w:style w:type="paragraph" w:styleId="16">
    <w:name w:val="1 Знак"/>
    <w:basedOn w:val="Normal"/>
    <w:qFormat/>
    <w:pPr>
      <w:tabs>
        <w:tab w:val="left" w:pos="1069" w:leader="none"/>
      </w:tabs>
      <w:spacing w:lineRule="exact" w:line="240" w:before="0" w:after="160"/>
      <w:ind w:left="1069" w:right="0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CharChar1">
    <w:name w:val=" Char Char1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7">
    <w:name w:val=" Знак1"/>
    <w:basedOn w:val="Normal"/>
    <w:qFormat/>
    <w:pPr>
      <w:tabs>
        <w:tab w:val="left" w:pos="1069" w:leader="none"/>
      </w:tabs>
      <w:spacing w:lineRule="exact" w:line="240" w:before="0" w:after="160"/>
      <w:ind w:left="1069" w:right="0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1">
    <w:name w:val="Основной текст с отступом 31"/>
    <w:basedOn w:val="Normal"/>
    <w:qFormat/>
    <w:pPr>
      <w:ind w:left="720" w:right="0" w:hanging="0"/>
      <w:jc w:val="both"/>
    </w:pPr>
    <w:rPr>
      <w:sz w:val="28"/>
    </w:rPr>
  </w:style>
  <w:style w:type="paragraph" w:styleId="21">
    <w:name w:val="Основной текст с отступом 21"/>
    <w:basedOn w:val="Normal"/>
    <w:qFormat/>
    <w:pPr>
      <w:ind w:left="0" w:right="0" w:firstLine="360"/>
      <w:jc w:val="both"/>
    </w:pPr>
    <w:rPr>
      <w:szCs w:val="28"/>
    </w:rPr>
  </w:style>
  <w:style w:type="paragraph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8">
    <w:name w:val="Обычный отступ1"/>
    <w:basedOn w:val="Normal"/>
    <w:qFormat/>
    <w:pPr>
      <w:spacing w:lineRule="auto" w:line="360"/>
      <w:ind w:left="0" w:right="0" w:firstLine="624"/>
      <w:jc w:val="both"/>
    </w:pPr>
    <w:rPr>
      <w:rFonts w:eastAsia="Times New Roman"/>
      <w:sz w:val="28"/>
      <w:szCs w:val="20"/>
    </w:rPr>
  </w:style>
  <w:style w:type="paragraph" w:styleId="Style29">
    <w:name w:val="Содержимое врезки"/>
    <w:basedOn w:val="Style19"/>
    <w:qFormat/>
    <w:pPr/>
    <w:rPr/>
  </w:style>
  <w:style w:type="paragraph" w:styleId="23">
    <w:name w:val="Основной текст 2"/>
    <w:basedOn w:val="Normal"/>
    <w:qFormat/>
    <w:pPr>
      <w:spacing w:lineRule="auto" w:line="480" w:before="0" w:after="120"/>
    </w:pPr>
    <w:rPr/>
  </w:style>
  <w:style w:type="paragraph" w:styleId="Style30">
    <w:name w:val="Абзац списка"/>
    <w:basedOn w:val="Normal"/>
    <w:qFormat/>
    <w:pPr>
      <w:suppressAutoHyphens w:val="false"/>
      <w:spacing w:before="0" w:after="0"/>
      <w:ind w:left="720" w:right="0" w:hanging="0"/>
      <w:contextualSpacing/>
    </w:pPr>
    <w:rPr>
      <w:rFonts w:eastAsia="Times New Roman"/>
      <w:sz w:val="20"/>
      <w:szCs w:val="20"/>
      <w:lang w:val="en-US"/>
    </w:rPr>
  </w:style>
  <w:style w:type="paragraph" w:styleId="Style31">
    <w:name w:val="Обычный отступ"/>
    <w:basedOn w:val="Normal"/>
    <w:qFormat/>
    <w:pPr>
      <w:ind w:left="708" w:right="0" w:hanging="0"/>
    </w:pPr>
    <w:rPr/>
  </w:style>
  <w:style w:type="paragraph" w:styleId="Style32">
    <w:name w:val="Footnote Text"/>
    <w:basedOn w:val="Normal"/>
    <w:pPr>
      <w:suppressAutoHyphens w:val="false"/>
    </w:pPr>
    <w:rPr>
      <w:rFonts w:eastAsia="Times New Roman"/>
      <w:sz w:val="20"/>
      <w:szCs w:val="20"/>
    </w:rPr>
  </w:style>
  <w:style w:type="paragraph" w:styleId="Style33">
    <w:name w:val="Endnote Text"/>
    <w:basedOn w:val="Normal"/>
    <w:pPr/>
    <w:rPr>
      <w:sz w:val="20"/>
      <w:szCs w:val="20"/>
    </w:rPr>
  </w:style>
  <w:style w:type="paragraph" w:styleId="Style34">
    <w:name w:val="Текст"/>
    <w:basedOn w:val="Normal"/>
    <w:qFormat/>
    <w:pPr>
      <w:suppressAutoHyphens w:val="false"/>
    </w:pPr>
    <w:rPr>
      <w:rFonts w:ascii="Courier New" w:hAnsi="Courier New" w:eastAsia="Times New Roman" w:cs="Courier New"/>
      <w:b/>
      <w:sz w:val="20"/>
      <w:szCs w:val="20"/>
    </w:rPr>
  </w:style>
  <w:style w:type="paragraph" w:styleId="HTML1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sz w:val="20"/>
      <w:szCs w:val="20"/>
    </w:rPr>
  </w:style>
  <w:style w:type="paragraph" w:styleId="ConsPlusNormal">
    <w:name w:val="ConsPlusNormal"/>
    <w:qFormat/>
    <w:pPr>
      <w:widowControl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5">
    <w:name w:val="Знак Знак Знак Знак"/>
    <w:basedOn w:val="Normal"/>
    <w:qFormat/>
    <w:pPr>
      <w:suppressAutoHyphens w:val="false"/>
      <w:spacing w:lineRule="exact" w:line="240" w:before="0" w:after="160"/>
    </w:pPr>
    <w:rPr>
      <w:rFonts w:eastAsia="Times New Roman"/>
      <w:sz w:val="28"/>
      <w:szCs w:val="20"/>
      <w:lang w:val="en-US"/>
    </w:rPr>
  </w:style>
  <w:style w:type="paragraph" w:styleId="Style36">
    <w:name w:val="Текст документа"/>
    <w:basedOn w:val="Style27"/>
    <w:qFormat/>
    <w:pPr>
      <w:keepLines/>
      <w:suppressAutoHyphens w:val="false"/>
      <w:spacing w:before="280" w:after="280"/>
      <w:jc w:val="right"/>
    </w:pPr>
    <w:rPr>
      <w:rFonts w:ascii="Times New Roman" w:hAnsi="Times New Roman" w:eastAsia="Verdana" w:cs="Times New Roman"/>
      <w:color w:val="000000"/>
      <w:sz w:val="24"/>
      <w:szCs w:val="24"/>
    </w:rPr>
  </w:style>
  <w:style w:type="paragraph" w:styleId="Style37">
    <w:name w:val="Маркированный список"/>
    <w:basedOn w:val="Normal"/>
    <w:qFormat/>
    <w:pPr>
      <w:tabs>
        <w:tab w:val="left" w:pos="360" w:leader="none"/>
      </w:tabs>
      <w:suppressAutoHyphens w:val="false"/>
      <w:spacing w:before="0" w:after="120"/>
      <w:ind w:left="360" w:right="0" w:hanging="360"/>
      <w:jc w:val="both"/>
    </w:pPr>
    <w:rPr>
      <w:rFonts w:eastAsia="Times New Roman"/>
    </w:rPr>
  </w:style>
  <w:style w:type="paragraph" w:styleId="Style41">
    <w:name w:val="Style4"/>
    <w:basedOn w:val="Normal"/>
    <w:qFormat/>
    <w:pPr>
      <w:widowControl w:val="false"/>
      <w:suppressAutoHyphens w:val="false"/>
      <w:spacing w:lineRule="atLeast" w:line="420"/>
      <w:jc w:val="both"/>
    </w:pPr>
    <w:rPr>
      <w:rFonts w:eastAsia="Times New Roman"/>
    </w:rPr>
  </w:style>
  <w:style w:type="paragraph" w:styleId="Western">
    <w:name w:val="western"/>
    <w:basedOn w:val="Normal"/>
    <w:qFormat/>
    <w:pPr>
      <w:suppressAutoHyphens w:val="false"/>
      <w:spacing w:before="280" w:after="0"/>
    </w:pPr>
    <w:rPr>
      <w:rFonts w:eastAsia="Times New Roman"/>
      <w:b/>
      <w:bCs/>
    </w:rPr>
  </w:style>
  <w:style w:type="paragraph" w:styleId="Style38">
    <w:name w:val="Содержимое таблицы"/>
    <w:basedOn w:val="Normal"/>
    <w:qFormat/>
    <w:pPr>
      <w:suppressLineNumbers/>
    </w:pPr>
    <w:rPr>
      <w:rFonts w:eastAsia="Times New Roma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k.ru/dk?cmd=logExternal&amp;st.cmd=logExternal&amp;st.sig=JrvTKLUlvTTTWzpOxIPa0v3ZTWhm2i1pw8RT-NNj2erAQ0xeUMLV1_Bq6Ux0PEVx&amp;st.link=http%3A%2F%2Fes.pfrf.ru&amp;st.name=externalLinkRedirect&amp;st.tid=153011812283854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Normal_x005F_x005F_x005F_x005F_x005F_x005F_x005F_x005F_x005F_x005F_x005F_x0000_</Template>
  <TotalTime>48</TotalTime>
  <Application>LibreOffice/6.0.5.2$Windows_x86 LibreOffice_project/54c8cbb85f300ac59db32fe8a675ff7683cd5a16</Application>
  <Pages>1</Pages>
  <Words>236</Words>
  <Characters>1582</Characters>
  <CharactersWithSpaces>1834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2021-03-24T08:12:00Z</dcterms:created>
  <dc:creator>Ziganshina_NV</dc:creator>
  <dc:description/>
  <dc:language>ru-RU</dc:language>
  <cp:lastModifiedBy/>
  <cp:lastPrinted>2017-04-03T11:17:00Z</cp:lastPrinted>
  <dcterms:modified xsi:type="dcterms:W3CDTF">2021-04-13T09:17:00Z</dcterms:modified>
  <cp:revision>16</cp:revision>
  <dc:subject/>
  <dc:title>Росэнерго и РАО «ЕЭС России» приняли решение о передаче  полном</dc:title>
</cp:coreProperties>
</file>