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СОВЕТ ДЕПУТАТОВ МУНИЦИПАЛЬНОГО ОБРАЗОВАНИЯ</w:t>
      </w:r>
    </w:p>
    <w:p>
      <w:pPr>
        <w:pStyle w:val="Normal"/>
        <w:tabs>
          <w:tab w:val="clear" w:pos="708"/>
          <w:tab w:val="left" w:pos="2925" w:leader="none"/>
          <w:tab w:val="center" w:pos="4677" w:leader="none"/>
        </w:tabs>
        <w:spacing w:before="0" w:after="0"/>
        <w:jc w:val="center"/>
        <w:rPr/>
      </w:pPr>
      <w:r>
        <w:rPr>
          <w:b/>
          <w:bCs/>
          <w:sz w:val="28"/>
          <w:szCs w:val="28"/>
        </w:rPr>
        <w:t>«</w:t>
      </w: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ЧЕРДАКЛИНСКИЙ РАЙОН</w:t>
      </w:r>
      <w:r>
        <w:rPr>
          <w:b/>
          <w:bCs/>
          <w:sz w:val="28"/>
          <w:szCs w:val="28"/>
        </w:rPr>
        <w:t xml:space="preserve">» </w:t>
      </w: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  <w:t>УЛЬЯНОВСКОЙ ОБЛАСТИ</w:t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tabs>
          <w:tab w:val="clear" w:pos="708"/>
          <w:tab w:val="left" w:pos="3495" w:leader="none"/>
        </w:tabs>
        <w:spacing w:before="0" w:after="0"/>
        <w:jc w:val="center"/>
        <w:rPr>
          <w:rFonts w:ascii="Times New Roman CYR" w:hAnsi="Times New Roman CYR" w:eastAsia="Times New Roman CYR" w:cs="Times New Roman CYR"/>
          <w:b/>
          <w:b/>
          <w:bCs/>
          <w:color w:val="000000"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>Р Е Ш Е Н И Е</w:t>
      </w:r>
    </w:p>
    <w:p>
      <w:pPr>
        <w:pStyle w:val="Normal"/>
        <w:tabs>
          <w:tab w:val="clear" w:pos="708"/>
          <w:tab w:val="left" w:pos="3495" w:leader="none"/>
        </w:tabs>
        <w:spacing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tabs>
          <w:tab w:val="clear" w:pos="708"/>
          <w:tab w:val="left" w:pos="3495" w:leader="none"/>
        </w:tabs>
        <w:spacing w:before="0" w:after="0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>28 апреля 2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>021г.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ab/>
        <w:tab/>
        <w:t xml:space="preserve">    </w:t>
        <w:tab/>
        <w:tab/>
        <w:t xml:space="preserve">                                                  №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>34</w:t>
      </w:r>
    </w:p>
    <w:p>
      <w:pPr>
        <w:pStyle w:val="Normal"/>
        <w:tabs>
          <w:tab w:val="clear" w:pos="708"/>
          <w:tab w:val="left" w:pos="4020" w:leader="none"/>
        </w:tabs>
        <w:spacing w:before="0" w:after="0"/>
        <w:jc w:val="center"/>
        <w:rPr>
          <w:rFonts w:ascii="Times New Roman CYR" w:hAnsi="Times New Roman CYR" w:eastAsia="Times New Roman CYR" w:cs="Times New Roman CYR"/>
          <w:b/>
          <w:b/>
          <w:bCs/>
          <w:color w:val="000000"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>р.п. Чердаклы</w:t>
      </w:r>
    </w:p>
    <w:p>
      <w:pPr>
        <w:pStyle w:val="Normal"/>
        <w:spacing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tabs>
          <w:tab w:val="clear" w:pos="708"/>
          <w:tab w:val="left" w:pos="1035" w:leader="none"/>
        </w:tabs>
        <w:spacing w:before="0" w:after="0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 xml:space="preserve">Об утверждении  отчёта   Контрольно-счетной  комиссии Совета депутатов   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>Чердаклинский район</w:t>
      </w:r>
      <w:r>
        <w:rPr>
          <w:b/>
          <w:bCs/>
          <w:color w:val="000000"/>
          <w:sz w:val="28"/>
          <w:szCs w:val="28"/>
        </w:rPr>
        <w:t xml:space="preserve">»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Ульяновской области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>за  20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>20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 xml:space="preserve">  год</w:t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 xml:space="preserve">В  соответствии с ст. 14  Положения о Контрольно-счетной комиссии, Совета депутатов муниципального образования </w:t>
      </w: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>Чердаклинский район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»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>от 30.03.2015 №19, решения Совета депутатов от 14.04.2014 №20 «</w:t>
      </w:r>
      <w:r>
        <w:rPr>
          <w:rFonts w:cs="Times New Roman" w:ascii="Times New Roman" w:hAnsi="Times New Roman"/>
          <w:bCs/>
          <w:sz w:val="28"/>
          <w:szCs w:val="28"/>
        </w:rPr>
        <w:t xml:space="preserve">Об утверждении  Положения о порядке заслушивания ежегодных отчётов главы муниципального образования   « Чердаклинский район»  и главы администрации муниципального образования    « Чердаклинский район» Ульяновской области о результатах своей деятельности, деятельности администрации муниципального образования Чердаклинский район», о решении вопросов, поставленных Советом депутатов  муниципального образования «Чердаклинский район» и рассмотрения ежегодных отчётов Контрольно-счётной комиссии муниципального образования «Чердаклинский район», 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 xml:space="preserve">Совет депутатов муниципального образования </w:t>
      </w: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>Чердаклинский район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»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>Ульяновской области решил:</w:t>
      </w:r>
    </w:p>
    <w:p>
      <w:pPr>
        <w:pStyle w:val="Normal"/>
        <w:spacing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 xml:space="preserve">Утвердить годовой отчёт  Контрольно-счетной комиссии Совета депутатов муниципального образования </w:t>
      </w:r>
      <w:r>
        <w:rPr>
          <w:rFonts w:cs="Times New Roman" w:ascii="Times New Roman" w:hAnsi="Times New Roman"/>
          <w:color w:val="000000"/>
          <w:sz w:val="28"/>
          <w:szCs w:val="28"/>
        </w:rPr>
        <w:t>«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>Чердаклинский район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» </w:t>
      </w:r>
      <w:bookmarkStart w:id="0" w:name="__DdeLink__4288_1267408393"/>
      <w:r>
        <w:rPr>
          <w:rFonts w:cs="Times New Roman" w:ascii="Times New Roman" w:hAnsi="Times New Roman"/>
          <w:color w:val="000000"/>
          <w:sz w:val="28"/>
          <w:szCs w:val="28"/>
        </w:rPr>
        <w:t>Ульяновской области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>за 20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 xml:space="preserve">20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>год согласно приложения.</w:t>
      </w:r>
    </w:p>
    <w:p>
      <w:pPr>
        <w:pStyle w:val="Normal"/>
        <w:spacing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 xml:space="preserve">Настоящее решение вступает в силу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  <w:lang w:val="ru-RU"/>
        </w:rPr>
        <w:t xml:space="preserve">после </w:t>
      </w: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 xml:space="preserve">его обнародования. </w:t>
      </w:r>
    </w:p>
    <w:p>
      <w:pPr>
        <w:pStyle w:val="Normal"/>
        <w:spacing w:before="0" w:after="0"/>
        <w:ind w:left="0" w:right="0" w:firstLine="72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0"/>
        <w:ind w:left="0" w:right="0" w:firstLine="72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 xml:space="preserve">Глава   муниципального образования </w:t>
      </w:r>
    </w:p>
    <w:p>
      <w:pPr>
        <w:pStyle w:val="Normal"/>
        <w:spacing w:lineRule="auto" w:line="240" w:before="0" w:after="0"/>
        <w:rPr/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>«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>Чердаклинский район</w:t>
      </w:r>
      <w:r>
        <w:rPr>
          <w:b/>
          <w:bCs/>
          <w:color w:val="000000"/>
          <w:sz w:val="28"/>
          <w:szCs w:val="28"/>
        </w:rPr>
        <w:t>»</w:t>
      </w:r>
    </w:p>
    <w:p>
      <w:pPr>
        <w:pStyle w:val="Normal"/>
        <w:spacing w:lineRule="auto" w:line="240" w:before="0" w:after="0"/>
        <w:rPr/>
      </w:pPr>
      <w:r>
        <w:rPr>
          <w:b/>
          <w:bCs/>
          <w:color w:val="000000"/>
          <w:sz w:val="28"/>
          <w:szCs w:val="28"/>
        </w:rPr>
        <w:t xml:space="preserve"> 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</w:rPr>
        <w:t xml:space="preserve">Ульяновской области                                                           </w:t>
      </w:r>
      <w:r>
        <w:rPr>
          <w:rFonts w:eastAsia="Times New Roman CYR" w:cs="Times New Roman CYR" w:ascii="Times New Roman CYR" w:hAnsi="Times New Roman CYR"/>
          <w:b/>
          <w:bCs/>
          <w:color w:val="000000"/>
          <w:sz w:val="28"/>
          <w:szCs w:val="28"/>
          <w:lang w:val="ru-RU"/>
        </w:rPr>
        <w:t>Г.Д. Родионова</w:t>
      </w:r>
    </w:p>
    <w:p>
      <w:pPr>
        <w:pStyle w:val="Normal"/>
        <w:spacing w:lineRule="auto" w:line="240" w:before="0" w:after="0"/>
        <w:ind w:left="5664" w:right="0" w:firstLine="708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</w:r>
    </w:p>
    <w:p>
      <w:pPr>
        <w:pStyle w:val="Normal"/>
        <w:spacing w:before="0" w:after="0"/>
        <w:ind w:left="5664" w:right="0" w:firstLine="708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</w:r>
    </w:p>
    <w:p>
      <w:pPr>
        <w:pStyle w:val="Normal"/>
        <w:spacing w:before="0" w:after="0"/>
        <w:ind w:left="5664" w:right="0" w:firstLine="708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 CYR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eastAsia="Times New Roman CYR" w:cs="Times New Roman" w:ascii="Times New Roman" w:hAnsi="Times New Roman"/>
          <w:bCs/>
          <w:sz w:val="28"/>
          <w:szCs w:val="28"/>
        </w:rPr>
        <w:t xml:space="preserve">Утвержден   </w:t>
      </w:r>
    </w:p>
    <w:p>
      <w:pPr>
        <w:pStyle w:val="Normal"/>
        <w:spacing w:lineRule="auto" w:line="240" w:before="0" w:after="0"/>
        <w:ind w:left="504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 CYR" w:cs="Times New Roman" w:ascii="Times New Roman" w:hAnsi="Times New Roman"/>
          <w:sz w:val="28"/>
          <w:szCs w:val="28"/>
        </w:rPr>
        <w:t>решением Совета  депутатов</w:t>
      </w:r>
    </w:p>
    <w:p>
      <w:pPr>
        <w:pStyle w:val="Normal"/>
        <w:spacing w:lineRule="auto" w:line="240" w:before="0" w:after="0"/>
        <w:ind w:left="504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eastAsia="Times New Roman CYR"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ind w:left="504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eastAsia="Times New Roman CYR" w:cs="Times New Roman" w:ascii="Times New Roman" w:hAnsi="Times New Roman"/>
          <w:sz w:val="28"/>
          <w:szCs w:val="28"/>
        </w:rPr>
        <w:t>Чердаклинский район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lineRule="auto" w:line="240" w:before="0" w:after="0"/>
        <w:ind w:left="504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28.04.</w:t>
      </w:r>
      <w:r>
        <w:rPr>
          <w:rFonts w:cs="Times New Roman" w:ascii="Times New Roman" w:hAnsi="Times New Roman"/>
          <w:sz w:val="28"/>
          <w:szCs w:val="28"/>
        </w:rPr>
        <w:t>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eastAsia="Times New Roman CYR" w:cs="Times New Roman" w:ascii="Times New Roman" w:hAnsi="Times New Roman"/>
          <w:sz w:val="28"/>
          <w:szCs w:val="28"/>
        </w:rPr>
        <w:t xml:space="preserve"> № </w:t>
      </w:r>
      <w:r>
        <w:rPr>
          <w:rFonts w:eastAsia="Times New Roman CYR" w:cs="Times New Roman" w:ascii="Times New Roman" w:hAnsi="Times New Roman"/>
          <w:sz w:val="28"/>
          <w:szCs w:val="28"/>
        </w:rPr>
        <w:t>34</w:t>
      </w:r>
    </w:p>
    <w:p>
      <w:pPr>
        <w:pStyle w:val="Normal"/>
        <w:spacing w:before="0" w:after="0"/>
        <w:jc w:val="center"/>
        <w:rPr/>
      </w:pPr>
      <w:r>
        <w:rPr>
          <w:b/>
          <w:bCs/>
        </w:rPr>
        <w:t xml:space="preserve">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ahoma" w:cs="Times New Roman" w:ascii="Times New Roman" w:hAnsi="Times New Roman"/>
          <w:b/>
          <w:bCs/>
          <w:sz w:val="28"/>
          <w:szCs w:val="28"/>
        </w:rPr>
        <w:t xml:space="preserve">Годовой отчет о работе Контрольно-счетной комиссии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ahoma" w:cs="Times New Roman"/>
          <w:b/>
          <w:b/>
          <w:bCs/>
          <w:sz w:val="28"/>
          <w:szCs w:val="28"/>
        </w:rPr>
      </w:pPr>
      <w:r>
        <w:rPr>
          <w:rFonts w:eastAsia="Tahoma" w:cs="Times New Roman" w:ascii="Times New Roman" w:hAnsi="Times New Roman"/>
          <w:b/>
          <w:bCs/>
          <w:sz w:val="28"/>
          <w:szCs w:val="28"/>
        </w:rPr>
        <w:t xml:space="preserve">Совета  депутатов муниципального образования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ahoma" w:cs="Times New Roman" w:ascii="Times New Roman" w:hAnsi="Times New Roman"/>
          <w:b/>
          <w:bCs/>
          <w:sz w:val="28"/>
          <w:szCs w:val="28"/>
        </w:rPr>
        <w:t>«Чердаклинский район» за  20</w:t>
      </w:r>
      <w:r>
        <w:rPr>
          <w:rFonts w:eastAsia="Tahoma" w:cs="Times New Roman" w:ascii="Times New Roman" w:hAnsi="Times New Roman"/>
          <w:b/>
          <w:bCs/>
          <w:sz w:val="28"/>
          <w:szCs w:val="28"/>
        </w:rPr>
        <w:t>20</w:t>
      </w:r>
      <w:r>
        <w:rPr>
          <w:rFonts w:eastAsia="Tahoma" w:cs="Times New Roman" w:ascii="Times New Roman" w:hAnsi="Times New Roman"/>
          <w:b/>
          <w:bCs/>
          <w:sz w:val="28"/>
          <w:szCs w:val="28"/>
        </w:rPr>
        <w:t xml:space="preserve"> год</w:t>
      </w:r>
      <w:r>
        <w:rPr>
          <w:rFonts w:eastAsia="Times New Roman CYR"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30"/>
          <w:szCs w:val="30"/>
        </w:rPr>
        <w:t>Отчёт о работе Контрольно-счетной комиссии Совета депутатов МО «Чердаклинский район» Ульяновской области за 20</w:t>
      </w:r>
      <w:r>
        <w:rPr>
          <w:rFonts w:cs="Times New Roman" w:ascii="Times New Roman" w:hAnsi="Times New Roman"/>
          <w:sz w:val="30"/>
          <w:szCs w:val="30"/>
        </w:rPr>
        <w:t>20</w:t>
      </w:r>
      <w:r>
        <w:rPr>
          <w:rFonts w:cs="Times New Roman" w:ascii="Times New Roman" w:hAnsi="Times New Roman"/>
          <w:sz w:val="30"/>
          <w:szCs w:val="30"/>
        </w:rPr>
        <w:t xml:space="preserve"> год (далее по тексту – Отчёт) подготовлен в соответствии с требованиями части 2 статьи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части 2 статьи 20 Положения о Контрольно-счетной комиссии Совета депутатов МО «Чердаклинский район» Ульяновской области, утвержденного решением Совета депутатов МО «Чердаклинский район»  Ульяновской области от 30.03.2015 № 15 (далее по тексту – Положение), и содержит информацию об основных направлениях и результатах деятельности Контрольно-счётной  комиссии в 2020 году.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Основные итоги работы Контрольно-счетной комиссии </w:t>
      </w:r>
    </w:p>
    <w:p>
      <w:pPr>
        <w:pStyle w:val="Normal"/>
        <w:spacing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Совета депутатов МО «Чердаклинский район» </w:t>
      </w:r>
    </w:p>
    <w:p>
      <w:pPr>
        <w:pStyle w:val="Normal"/>
        <w:spacing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Ульяновской области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В 2020 году работа Контрольно-счетной комиссии Совета депутатов МО «Чердаклинский район» Ульяновской области  (далее по тексту –Контрольно – счётная комиссия) строилась в соответствии с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Ульяновской области, муниципальными нормативными правовыми актами МО «Чердаклинский район» Ульяновской области, Положением и Регламентом, на основе годового плана работы на 2020 год, утверждённого председателем Контрольно-счетной комиссии и размещенного на сайте www.</w:t>
      </w:r>
      <w:r>
        <w:rPr>
          <w:rFonts w:cs="Times New Roman" w:ascii="Times New Roman" w:hAnsi="Times New Roman"/>
          <w:sz w:val="28"/>
          <w:szCs w:val="28"/>
          <w:lang w:val="en-US"/>
        </w:rPr>
        <w:t>cherdakli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com</w:t>
      </w:r>
      <w:r>
        <w:rPr>
          <w:rFonts w:cs="Times New Roman" w:ascii="Times New Roman" w:hAnsi="Times New Roman"/>
          <w:sz w:val="28"/>
          <w:szCs w:val="28"/>
        </w:rPr>
        <w:t>, с изменениями, вносимыми в течении года.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Контрольно-счетная комиссия осуществляла свою деятельность в рамках реализации основных полномочий, определенных Положением, а именно: 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контроль за исполнением бюджета муниципального образования «Чердаклинский район» Ульяновской области (далее по тексту - бюджет района);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- экспертиза проектов бюджета района;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- внешняя проверка годового отчета об исполнении бюджета района;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организация и осуществление контроля за законностью, результативностью (эффективностью и экономностью) использования средств бюджета района, а также средств, получаемых бюджетом района из иных источников, предусмотренных законодательством Российской Федерации;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- анализ бюджетного процесса в муниципальном образовании и подготовка предложений, направленных на его совершенствование;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подготовка информации о ходе исполнения бюджета района, о результатах проведенных контрольных и экспертно-аналитических мероприятий и представление такой информации в Совет депутатов района;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района;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мониторинг хода и итогов реализации программ и планов развития района;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мониторинг исполнения бюджета района;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участие в пределах полномочий в мероприятиях, направленных на противодействие коррупции.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Полномочия Контрольно-счетной комиссии по осуществлению мер, направленных на системную проверку, анализ, оценку информации о законности, целесообразности, обоснованности, своевременности, эффективности расходов на закупку товаров, работ и услуг по планируемым к заключению, заключенным и исполненным муниципальным контрактам закреплены в статье 98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Методическое обеспечение Контрольно-счетной комиссии основывается на использовании методик, норм, стандартов, разработанных Счётной палатой Российской Федерации, Союзом муниципальных контрольно-счётных органов Российской Федерации, контрольно – счетным органом внешнего финансового контроля муниципального образования «Чердаклинский район» Ульяновской области.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Контрольно-счетной комиссией активно ведется работа по внедрению Классификатора и классификации выявляемых в 2020 году нарушений в соответствии с Классификатором, одобренным в декабре 2016 Коллегией Счётной палаты РФ, Советом контрольно-счётных органов при Счётной палате РФ.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общим вектором развития внешнего финансового контроля в Российской Федерации, в отчетном периоде Контрольно-счетной комиссией значительное внимание уделялось экспертно-аналитическим мероприятиям (в том числе экспертизе муниципальных программ).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2020 году Контрольно-счетной комиссией проведено 22 экспертно-аналитических мероприятий и 10 контрольных мероприятий.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результатам контрольных и экспертно-аналитических мероприятий установлено 50 нарушений действующего законодательства на общую сумму – 8503,5тыс.рублей.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результатам проверок Контрольно-счетной комиссии устранено финансовых нарушений на сумму – 315,4 тыс.рублей, в том числе: возмещено в бюджет – 170,2 тыс.рублей.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Основные показатели, характеризующие деятельность Контрольно-счетной комиссии, представлены в таблице 1.</w:t>
      </w:r>
    </w:p>
    <w:p>
      <w:pPr>
        <w:pStyle w:val="Normal"/>
        <w:ind w:firstLine="709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Табл.1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Основные показатели деятельности в 2018-2020 годах</w:t>
      </w:r>
    </w:p>
    <w:tbl>
      <w:tblPr>
        <w:tblStyle w:val="a7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4"/>
        <w:gridCol w:w="5549"/>
        <w:gridCol w:w="1134"/>
        <w:gridCol w:w="1275"/>
        <w:gridCol w:w="1135"/>
      </w:tblGrid>
      <w:tr>
        <w:trPr/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>
        <w:trPr>
          <w:trHeight w:val="422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093" w:type="dxa"/>
            <w:gridSpan w:val="4"/>
            <w:tcBorders/>
            <w:shd w:fill="auto" w:val="clear"/>
          </w:tcPr>
          <w:p>
            <w:pPr>
              <w:pStyle w:val="Default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>
                <w:b/>
                <w:sz w:val="22"/>
                <w:szCs w:val="22"/>
              </w:rPr>
              <w:t>Контрольно-ревизионная деятельность</w:t>
            </w:r>
          </w:p>
          <w:p>
            <w:pPr>
              <w:pStyle w:val="Default"/>
              <w:spacing w:lineRule="auto" w:line="240"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Количество проведенных проверок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trHeight w:val="121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Количество объектов, охваченных при проведении контрольных мероприятий (ед.), в том числе: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121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органов местного самоуправления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121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муниципальных учреждений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cs="Times New Roman" w:ascii="Times New Roman" w:hAnsi="Times New Roman"/>
              </w:rPr>
              <w:t>1.2.3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муниципальных предприятий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cs="Times New Roman" w:ascii="Times New Roman" w:hAnsi="Times New Roman"/>
              </w:rPr>
              <w:t>1.2.4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прочих организаций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1.3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Объем проверенных бюджетных средств, всего, тыс. руб.,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222297,2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337155,1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192323,3</w:t>
            </w:r>
          </w:p>
        </w:tc>
      </w:tr>
      <w:tr>
        <w:trPr>
          <w:trHeight w:val="367" w:hRule="atLeast"/>
        </w:trPr>
        <w:tc>
          <w:tcPr>
            <w:tcW w:w="974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СПРАВОЧНО: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1.4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9" w:hanging="0"/>
              <w:rPr/>
            </w:pPr>
            <w:r>
              <w:rPr>
                <w:rFonts w:cs="Times New Roman" w:ascii="Times New Roman" w:hAnsi="Times New Roman"/>
              </w:rPr>
              <w:t>Выявлено нарушений и недостатков, всего, тыс.руб., в т.ч.: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20197,19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10842,7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8503,5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1.4.1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Нецелевое использование бюджетных средств, тыс.руб.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     </w:t>
            </w: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1.4.2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Нарушение при формировании и исполнении бюджетов, тыс.руб.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5514,6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3816,1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7204,2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1.4.3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Нарушения в сфере управления и распоряжения муниципальной собственностью, тыс. руб.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1.4.4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Нарушения при осуществлении муниципальных закупок и закупок отдельными видами юридических лиц,тыс.руб.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2528,15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4895,0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1232,1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1.4.5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Неэффективное использование бюджетных средств, тыс. руб.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3134,47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12417,6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11086,7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1.4.6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Нарушения законодательства о бухгалтерском учете и финансовой отчетности, тыс.руб.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72,3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2131,6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67,2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1.4.7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Прочие нарушения и недостатки, тыс. руб.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8947,7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1.4.8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Неправомерное использование бюджетных средств,тыс.руб.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9747" w:type="dxa"/>
            <w:gridSpan w:val="5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Экспертно-аналитическая деятельность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2.1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2.1.1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22</w:t>
            </w:r>
          </w:p>
        </w:tc>
      </w:tr>
      <w:tr>
        <w:trPr>
          <w:trHeight w:val="476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2.1.2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количество подготовленных КСО предложений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23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-108" w:hanging="0"/>
              <w:jc w:val="both"/>
              <w:rPr/>
            </w:pPr>
            <w:r>
              <w:rPr>
                <w:rFonts w:cs="Times New Roman" w:ascii="Times New Roman" w:hAnsi="Times New Roman"/>
              </w:rPr>
              <w:t>2.1.3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количество предложений КСО, учтенных при принятии решений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22</w:t>
            </w:r>
          </w:p>
        </w:tc>
      </w:tr>
      <w:tr>
        <w:trPr>
          <w:trHeight w:val="360" w:hRule="atLeast"/>
        </w:trPr>
        <w:tc>
          <w:tcPr>
            <w:tcW w:w="974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3. Реализация результатов контрольных мероприятий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3.1 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Направлено представлений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3.1.1 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Снято с контроля представлений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3.1.2 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количество предложений по направленным представлениям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585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3.1.3 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количество реализованных предложений по направленным представлениям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>
          <w:trHeight w:val="227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3.3 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Устранено финансовых нарушений, тыс. руб., в том числе: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4189,8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3445,8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315,4</w:t>
            </w:r>
          </w:p>
        </w:tc>
      </w:tr>
      <w:tr>
        <w:trPr>
          <w:trHeight w:val="22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3.3.1 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</w:rPr>
              <w:t xml:space="preserve">возмещено средств в бюджет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10,3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31,0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170,2</w:t>
            </w:r>
          </w:p>
        </w:tc>
      </w:tr>
      <w:tr>
        <w:trPr>
          <w:trHeight w:val="360" w:hRule="atLeast"/>
        </w:trPr>
        <w:tc>
          <w:tcPr>
            <w:tcW w:w="9747" w:type="dxa"/>
            <w:gridSpan w:val="5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3.4</w:t>
            </w:r>
            <w:r>
              <w:rPr>
                <w:b/>
                <w:sz w:val="22"/>
                <w:szCs w:val="22"/>
              </w:rPr>
              <w:t xml:space="preserve">   Справочно: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3.4.1 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Привлечено к дисциплинарной ответственности, чел.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3.4.2 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Направлено материалов в правоохранительные органы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3.4.3 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Возбуждено уголовных дел по материалам проверок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3.5 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 xml:space="preserve">Устранено финансовых нарушений по мероприятиям, проведенным в периодах, предшествующих отчетному, тыс. руб. 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9747" w:type="dxa"/>
            <w:gridSpan w:val="5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b/>
                <w:sz w:val="22"/>
                <w:szCs w:val="22"/>
              </w:rPr>
              <w:t>4. Гласность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Количество публикаций в СМИ, отражающих деятельность КСО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Наличие собственного информационного сайта или страницы на сайте представительного органа</w:t>
            </w:r>
          </w:p>
        </w:tc>
        <w:tc>
          <w:tcPr>
            <w:tcW w:w="3544" w:type="dxa"/>
            <w:gridSpan w:val="3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https://cherdakli.com/?page_id=277</w:t>
            </w:r>
          </w:p>
        </w:tc>
      </w:tr>
      <w:tr>
        <w:trPr>
          <w:trHeight w:val="360" w:hRule="atLeast"/>
        </w:trPr>
        <w:tc>
          <w:tcPr>
            <w:tcW w:w="65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549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sz w:val="22"/>
                <w:szCs w:val="22"/>
              </w:rPr>
              <w:t>Количество материалов, размещенных на официальном сайте муниципального образования по результатам работы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</w:tr>
    </w:tbl>
    <w:p>
      <w:pPr>
        <w:pStyle w:val="Normal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Экспертно-аналитическая деятельность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2020 году Контрольно-счетной комиссией в форме экспертно-аналитических мероприятий осуществлялся системный анализ проектов правовых актов с целью подготовки предложений по предупреждению противоправных, неэффективных и нерациональных расходов бюджетных средств. Контрольно-счетной комиссией проведено 22 экспертно-аналитических мероприятий, в том числе внешняя проверка отчёта об исполнении бюджета МО «Чердаклинский район»  и 10 поселений района за 2019 год, 16  заключений по изменениям, вносимым в бюджет района на 2020 год и плановый период 2021-2022 годов, заключения по проектам муниципальных правовых актов по бюджетным, финансовым вопросам и вопросам управления муниципальной собственностью и экспертизе проекта бюджета Чердаклинского района Ульяновской области на 2021 год и плановый период 2022  и 2023 годов.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рамках заключений по экспертно-аналитическим мероприятиям на проекты нормативных правовых актов органов местного самоуправления подготовлены предложения, все предложения были в дальнейшем учтены при принятии решений.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заключении на проект решения «О бюджете муниципального образования «Чердаклинский район» Ульяновской области на 2021 год и плановый период 2022 и 2023 годы» (далее по тексту – проект решения) Контрольно-счетная комиссия сделала выводы, что в целом проект решения о бюджете района соответствует требованиям нормативных правовых актов Российской Федерации, муниципальных правовых актов Чердаклинского района Ульяновской области.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Одним из направлений работы Контрольно-счетной комиссии в 2020 году стал аудит в сфере закупок для муниципальных нужд. Постановлением Администрации МО «Чердаклинский район» Ульяновской области от 26.06.2015 №651 была создана Рабочая группа по рассмотрению обоснованности и эффективности использования средств бюджета района, в состав которой входит и председатель Контрольно-счетной комиссии.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Создание Рабочей группы по рассмотрению обоснованности и эффективности использования средств бюджета Чердаклинского района позволило Контрольно-счетной комиссии еще на этапе проверки проектов муниципальных контрактов, проектов договоров на закупку осуществлять предварительный контроль обоснованности расчётов и отклонять те контракты, по которым было выявлено завышение начальной максимальной цены, а также аффилированность поставщиков и подрядчиков. </w:t>
      </w:r>
    </w:p>
    <w:p>
      <w:pPr>
        <w:pStyle w:val="Normal"/>
        <w:spacing w:before="0" w:after="29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 2020 год Контрольно-счетная комиссия участвовала на 53 заседаниях Рабочей группы по рассмотрению обоснованности и эффективности использования средств бюджета района, на которых были рассмотрены </w:t>
      </w:r>
      <w:r>
        <w:rPr>
          <w:rFonts w:cs="Times New Roman" w:ascii="Times New Roman" w:hAnsi="Times New Roman"/>
          <w:sz w:val="28"/>
          <w:szCs w:val="28"/>
          <w:u w:val="single"/>
        </w:rPr>
        <w:t>- 437</w:t>
      </w:r>
      <w:r>
        <w:rPr>
          <w:rFonts w:cs="Times New Roman" w:ascii="Times New Roman" w:hAnsi="Times New Roman"/>
          <w:sz w:val="28"/>
          <w:szCs w:val="28"/>
        </w:rPr>
        <w:t xml:space="preserve">   проекта технико-экономических заданий и коммерческих предложений к муниципальным контрактам на общую сумму </w:t>
      </w:r>
      <w:r>
        <w:rPr>
          <w:rFonts w:cs="Times New Roman" w:ascii="Times New Roman" w:hAnsi="Times New Roman"/>
          <w:sz w:val="28"/>
          <w:szCs w:val="28"/>
          <w:u w:val="single"/>
        </w:rPr>
        <w:t>221600,9</w:t>
      </w:r>
      <w:r>
        <w:rPr>
          <w:rFonts w:cs="Times New Roman" w:ascii="Times New Roman" w:hAnsi="Times New Roman"/>
          <w:sz w:val="28"/>
          <w:szCs w:val="28"/>
        </w:rPr>
        <w:t xml:space="preserve"> тыс.руб. необходимость их заключения, обоснованность расчетов начальной (максимальной) цены, правильного оформления проектов. Проделанная Контрольно-счетной комиссией работа в 2020 году в составе Рабочей группы позволила сэкономить бюджетные средства района в размере 1894,4тыс. рублей.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Контрольно-ревизионная деятельность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Контрольные функции реализовывались Контрольно-счетной комиссией посредством проведения контрольных мероприятий, тематика которых охватывала широкий спектр вопросов.</w:t>
      </w:r>
    </w:p>
    <w:p>
      <w:pPr>
        <w:pStyle w:val="Normal"/>
        <w:spacing w:before="0" w:after="0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 2020 год Контрольно-счетной комиссией было проведено 10 контрольных мероприятий на 12 объектах, объем проверенных средств составил –192323,3тыс.руб.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ходе осуществлённых контрольных мероприятий в 2020 году было выявлено финансовых нарушений на общую сумму - 8503,5тыс.руб., что составило 3,2 % объёма проверенных бюджетных средств.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их результатам было установлено 50 нарушений действующего законодательства. Из них 7204,2тыс. рублей - нарушения при формировании и исполнении бюджетов, 1232,1 тыс. рублей – нарушения при осуществлении муниципальных закупок, 67,2тыс.рублей – нарушение ведения бухгалтерского учета, составления и предоставления бухгалтерской (финансовой) отчетности.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11086,7тыс. рублей – было классифицировано как неэффективное использование средств.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ходе большинства осуществлённых контрольных мероприятий Контрольно-счетной комиссией выявлены нарушения законов и иных нормативных правовых актов Российской Федерации, законов и иных нормативных правовых актов Ульяновской области, муниципальных правовых актов МО «Чердаклинский район» Ульяновской области, факты неэффективного использования бюджетных средств, неэффективного использования муниципальной собственности, нарушения бюджетного процесса и другие.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 проведении контрольных мероприятий были охвачены 12 объектов, в том числе: - муниципальные учреждения – 11;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sz w:val="28"/>
          <w:szCs w:val="28"/>
        </w:rPr>
        <w:t>- муниципальные предприятия – 1.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результатам контрольных мероприятий в 2020 году главным распорядителям бюджетных средств, а также руководителям муниципальных учреждений и иным участникам бюджетного процесса было направлено 12 представлений.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Большое внимание Контрольно-счетной комиссией, как и в прошлом году, уделялось внедрению принципа неотвратимости наказания и привлечения к ответственности должностных лиц, по чьей вине были допущены нарушения. В 2020 году к дисциплинарной ответственности было привлечено 3 человек. Привлечено к административной ответственности 1 человек, составлен 1 протокол -  по </w:t>
      </w:r>
      <w:r>
        <w:rPr>
          <w:rFonts w:cs="Times New Roman" w:ascii="Times New Roman" w:hAnsi="Times New Roman"/>
          <w:bCs/>
          <w:i/>
          <w:sz w:val="26"/>
          <w:szCs w:val="26"/>
        </w:rPr>
        <w:t>Статья 19.7.</w:t>
      </w:r>
      <w:r>
        <w:rPr>
          <w:rFonts w:eastAsia="Times New Roman" w:cs="Times New Roman"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bCs/>
          <w:i/>
          <w:sz w:val="26"/>
          <w:szCs w:val="26"/>
        </w:rPr>
        <w:t>Кодекс Российской Федерации об административных правонарушениях. Непредставление сведений (информации</w:t>
      </w:r>
      <w:r>
        <w:rPr>
          <w:rFonts w:cs="Times New Roman" w:ascii="Times New Roman" w:hAnsi="Times New Roman"/>
          <w:bCs/>
          <w:sz w:val="26"/>
          <w:szCs w:val="26"/>
        </w:rPr>
        <w:t xml:space="preserve">).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ходе проводимых Контрольно-счетной комиссией проверок в финансово-хозяйственной деятельности у различных участников бюджетного процесса довольно часто встречаются однотипные нарушения и недостатки.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Так в 2020 году часто встречались нарушения в начислении заработной платы, в том числе: отпускных, доплат, премиальных вознаграждений. Так по двум Учреждениям после проверки были доначислены  отпускные в сумме –свыше 70тыс.рублей. Были возвращены в кассу Предприятия неправомерно начисленные суммы премиальных вознаграждений и надбавок в сумме – 147,7тыс.рублей.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Результаты контрольных мероприятий доводились до сведения Главы МО «Чердаклинский район» Ульяновской области, Главы Администрации МО «Чердаклинский район» Ульяновской области, депутатов МО «Чердаклинский район» Ульяновской области.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Информационно-аналитическая деятельность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Контрольно-счетная комиссия уделяет значительное внимание обеспечению открытости результатов своей деятельности. Во исполнение статьи 19 Федерального закона №6-ФЗ информация о деятельности муниципального контрольно-счетного органа размещается на официальном сайте Чердаклинского района Ульяновской области на странице Контрольно-счетной комиссии. На сегодняшний день итоговые результаты 10 контрольных мероприятий были официально опубликованы на сайте. Также результаты деятельности Контрольно-счетной комиссии освещались в печатных средствах массовой информации а именно на странице газеты «Приволжская правда»  размещались квартальные отчеты комиссии.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План работы Контрольно-счетной комиссии на 2021 год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Контрольно-счетной комиссией в 2020 будет осуществлен комплекс организационных мероприятий, который позволит: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продолжить практику проведения ряда тематических проверок и экспертно-аналитических мероприятий;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развивать сотрудничество с Союзом МКСО Российской Федерации, Областным Советом органов внешнего финансового контроля Ульяновской области, контрольно-счётными органами других муниципальных образований, правоохранительными органами;</w:t>
      </w:r>
    </w:p>
    <w:p>
      <w:pPr>
        <w:pStyle w:val="Normal"/>
        <w:spacing w:before="0" w:after="2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- продолжить практику проведения мероприятий по совершенствованию подготовки и повышению квалификации работников Контрольно-счетной комиссии.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2020 году Контрольно-счетная комиссия будет продолжать деятельность по обеспечению контроля за исполнением бюджета района. Уделять особое внимание Контрольно-счетная комиссия планирует аудиту в сфере закупок, как наиболее перспективному виду контроля, направленному на предотвращение нарушений. 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Работа Контрольно-счетной комиссии направлена на защиту интересов муниципального образования, связанных с осуществлением контроля за использованием бюджетных средств, деятельность Контрольно-счетной комиссии нацелена не только на выявление правонарушений в финансово-бюджетной сфере, но и на их предупреждение.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Согласно плану работы Контрольно-счетной комиссии на </w:t>
      </w:r>
      <w:r>
        <w:rPr>
          <w:rFonts w:cs="Times New Roman" w:ascii="Times New Roman" w:hAnsi="Times New Roman"/>
          <w:sz w:val="28"/>
          <w:szCs w:val="28"/>
          <w:u w:val="single"/>
        </w:rPr>
        <w:t>2021 год</w:t>
      </w:r>
      <w:r>
        <w:rPr>
          <w:rFonts w:cs="Times New Roman" w:ascii="Times New Roman" w:hAnsi="Times New Roman"/>
          <w:sz w:val="28"/>
          <w:szCs w:val="28"/>
        </w:rPr>
        <w:t xml:space="preserve"> (утвержденного 21 декабря 2020 года), в текущем году планируется провести 12 контрольных мероприятий, из них 2 контрольных мероприятия направлены на проверку законности и результативности использования бюджетных средств в рамках реализации нацпроектов – «Образование».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Также будет проведена внешняя проверка отчета об исполнении бюджета МО «Чердаклинский район» Ульяновской области и поселений района за 2020 год, экспертиза проекта бюджета МО «Чердаклинский район» Ульяновской области и поселений района на 2022 год и плановый период 2023 и 2024 годы, проведение анализа и оценки результатов, полученных в ходе проведения контрольных мероприятий, по вопросам реализации Федерального закона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План работы Контрольно-счетной комиссии на 2021 год официально размещен на странице Контрольно-счетной комиссии сайта Чердаклинского района.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Председатель КСК Совета депутатов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МО «Чердаклинский район»              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                                   И.А. Требушная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840" w:footer="0" w:bottom="153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dc7d9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dc7d9f"/>
    <w:rPr/>
  </w:style>
  <w:style w:type="character" w:styleId="Style16">
    <w:name w:val="Интернет-ссылка"/>
    <w:basedOn w:val="DefaultParagraphFont"/>
    <w:uiPriority w:val="99"/>
    <w:unhideWhenUsed/>
    <w:rsid w:val="00f426aa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7d5006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b w:val="false"/>
      <w:u w:val="none"/>
    </w:rPr>
  </w:style>
  <w:style w:type="character" w:styleId="ListLabel3">
    <w:name w:val="ListLabel 3"/>
    <w:qFormat/>
    <w:rPr>
      <w:u w:val="single"/>
    </w:rPr>
  </w:style>
  <w:style w:type="character" w:styleId="ListLabel4">
    <w:name w:val="ListLabel 4"/>
    <w:qFormat/>
    <w:rPr>
      <w:u w:val="single"/>
    </w:rPr>
  </w:style>
  <w:style w:type="character" w:styleId="ListLabel5">
    <w:name w:val="ListLabel 5"/>
    <w:qFormat/>
    <w:rPr>
      <w:u w:val="single"/>
    </w:rPr>
  </w:style>
  <w:style w:type="character" w:styleId="ListLabel6">
    <w:name w:val="ListLabel 6"/>
    <w:qFormat/>
    <w:rPr>
      <w:u w:val="single"/>
    </w:rPr>
  </w:style>
  <w:style w:type="character" w:styleId="ListLabel7">
    <w:name w:val="ListLabel 7"/>
    <w:qFormat/>
    <w:rPr>
      <w:u w:val="single"/>
    </w:rPr>
  </w:style>
  <w:style w:type="character" w:styleId="ListLabel8">
    <w:name w:val="ListLabel 8"/>
    <w:qFormat/>
    <w:rPr>
      <w:u w:val="single"/>
    </w:rPr>
  </w:style>
  <w:style w:type="character" w:styleId="ListLabel9">
    <w:name w:val="ListLabel 9"/>
    <w:qFormat/>
    <w:rPr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4"/>
    <w:uiPriority w:val="99"/>
    <w:unhideWhenUsed/>
    <w:rsid w:val="00dc7d9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dc7d9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c07bc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d6196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7d50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07bc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BECE-F1D8-4897-9D13-0C94DBA9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Application>LibreOffice/6.2.4.2$Windows_x86 LibreOffice_project/2412653d852ce75f65fbfa83fb7e7b669a126d64</Application>
  <Pages>10</Pages>
  <Words>2283</Words>
  <Characters>17162</Characters>
  <CharactersWithSpaces>19883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2017-02-14T14:25:00Z</dcterms:created>
  <dc:creator>Мушарапова</dc:creator>
  <dc:description/>
  <dc:language>ru-RU</dc:language>
  <cp:lastModifiedBy/>
  <cp:lastPrinted>2021-04-29T10:51:50Z</cp:lastPrinted>
  <dcterms:modified xsi:type="dcterms:W3CDTF">2021-04-29T11:07:29Z</dcterms:modified>
  <cp:revision>123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