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 wp14:anchorId="6DCABA4A">
                <wp:simplePos x="0" y="0"/>
                <wp:positionH relativeFrom="column">
                  <wp:posOffset>3663315</wp:posOffset>
                </wp:positionH>
                <wp:positionV relativeFrom="paragraph">
                  <wp:posOffset>-53340</wp:posOffset>
                </wp:positionV>
                <wp:extent cx="2738120" cy="2395220"/>
                <wp:effectExtent l="0" t="0" r="9525" b="9525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40" cy="239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_________________Ю.С.Нестеров</w:t>
                            </w:r>
                          </w:p>
                          <w:p>
                            <w:pPr>
                              <w:pStyle w:val="Style25"/>
                              <w:rPr>
                                <w:rFonts w:ascii="PT Astra Serif" w:hAnsi="PT Astra Serif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октябрь</w:t>
                            </w: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88.45pt;margin-top:-4.2pt;width:215.5pt;height:188.5pt" wp14:anchorId="6DCABA4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СОГЛАСОВАНО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_________________Ю.С.Нестеров</w:t>
                      </w:r>
                    </w:p>
                    <w:p>
                      <w:pPr>
                        <w:pStyle w:val="Style25"/>
                        <w:rPr>
                          <w:rFonts w:ascii="PT Astra Serif" w:hAnsi="PT Astra Serif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октябрь</w:t>
                      </w: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 xml:space="preserve"> 2021 года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E33E0E2">
                <wp:simplePos x="0" y="0"/>
                <wp:positionH relativeFrom="column">
                  <wp:posOffset>-327660</wp:posOffset>
                </wp:positionH>
                <wp:positionV relativeFrom="paragraph">
                  <wp:posOffset>-72390</wp:posOffset>
                </wp:positionV>
                <wp:extent cx="3090545" cy="1957070"/>
                <wp:effectExtent l="0" t="0" r="0" b="9525"/>
                <wp:wrapNone/>
                <wp:docPr id="3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880" cy="19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PT Astra Serif" w:hAnsi="PT Astra Serif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___________2021 г. №_______________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25.8pt;margin-top:-5.7pt;width:243.25pt;height:154pt" wp14:anchorId="3E33E0E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ОТЧЁТ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PT Astra Serif" w:hAnsi="PT Astra Serif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PT Astra Serif" w:hAnsi="PT Astra Serif"/>
                          <w:b/>
                          <w:color w:val="000000"/>
                          <w:sz w:val="26"/>
                          <w:szCs w:val="26"/>
                        </w:rPr>
                        <w:t>___________2021 г. №_______________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jc w:val="both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об организации работы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с обращениями граждан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и организаций в администрации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МО «Чердаклинский район» 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>Ульяновской области</w:t>
      </w:r>
    </w:p>
    <w:p>
      <w:pPr>
        <w:pStyle w:val="Style23"/>
        <w:widowControl/>
        <w:suppressAutoHyphens w:val="true"/>
        <w:bidi w:val="0"/>
        <w:spacing w:lineRule="auto" w:line="240" w:before="0" w:after="0"/>
        <w:ind w:left="-170" w:right="0" w:hanging="0"/>
        <w:rPr/>
      </w:pPr>
      <w:r>
        <w:rPr>
          <w:rFonts w:cs="Times New Roman" w:ascii="PT Astra Serif" w:hAnsi="PT Astra Serif"/>
          <w:b/>
          <w:sz w:val="27"/>
          <w:szCs w:val="27"/>
        </w:rPr>
        <w:t xml:space="preserve">за </w:t>
      </w:r>
      <w:r>
        <w:rPr>
          <w:rFonts w:eastAsia="Calibri" w:cs="Times New Roman" w:ascii="PT Astra Serif" w:hAnsi="PT Astra Serif" w:eastAsiaTheme="minorHAnsi"/>
          <w:b/>
          <w:color w:val="auto"/>
          <w:kern w:val="0"/>
          <w:sz w:val="27"/>
          <w:szCs w:val="27"/>
          <w:lang w:val="ru-RU" w:eastAsia="en-US" w:bidi="ar-SA"/>
        </w:rPr>
        <w:t>3</w:t>
      </w:r>
      <w:r>
        <w:rPr>
          <w:rFonts w:cs="Times New Roman" w:ascii="PT Astra Serif" w:hAnsi="PT Astra Serif"/>
          <w:b/>
          <w:sz w:val="27"/>
          <w:szCs w:val="27"/>
        </w:rPr>
        <w:t xml:space="preserve"> квартал 2021 года</w:t>
      </w:r>
    </w:p>
    <w:p>
      <w:pPr>
        <w:pStyle w:val="Normal"/>
        <w:rPr/>
      </w:pPr>
      <w:r>
        <w:rPr/>
      </w:r>
    </w:p>
    <w:tbl>
      <w:tblPr>
        <w:tblStyle w:val="a3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4"/>
        <w:gridCol w:w="2901"/>
        <w:gridCol w:w="3060"/>
      </w:tblGrid>
      <w:tr>
        <w:trPr/>
        <w:tc>
          <w:tcPr>
            <w:tcW w:w="407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Показатель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  <w:t>2021 год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>2020 год</w:t>
            </w:r>
          </w:p>
        </w:tc>
      </w:tr>
      <w:tr>
        <w:trPr/>
        <w:tc>
          <w:tcPr>
            <w:tcW w:w="407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PT Astra Serif" w:hAnsi="PT Astra Serif"/>
                <w:b/>
                <w:sz w:val="27"/>
                <w:szCs w:val="27"/>
              </w:rPr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3</w:t>
            </w:r>
            <w:r>
              <w:rPr>
                <w:rFonts w:cs="Times New Roman" w:ascii="PT Astra Serif" w:hAnsi="PT Astra Serif"/>
                <w:b/>
                <w:sz w:val="27"/>
                <w:szCs w:val="27"/>
              </w:rPr>
              <w:t xml:space="preserve"> квартал 2021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3</w:t>
            </w:r>
            <w:r>
              <w:rPr>
                <w:rFonts w:eastAsia="Calibri" w:cs="Times New Roman" w:ascii="PT Astra Serif" w:hAnsi="PT Astra Serif"/>
                <w:b/>
                <w:kern w:val="0"/>
                <w:sz w:val="27"/>
                <w:szCs w:val="27"/>
                <w:lang w:val="ru-RU" w:eastAsia="en-US" w:bidi="ar-SA"/>
              </w:rPr>
              <w:t xml:space="preserve"> квартал 2020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101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98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-Письменных обращений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68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-Устных обращений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center" w:pos="1239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  <w:tab w:val="center" w:pos="1239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1.1.2.Переадресованных из Правительства УО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 из них поступившие из администрации Президента РФ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32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1.1.3.Поступившие на имя Главы администрации МО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42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1.1.4.Из вышестоящих инстанций с указанием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согласование строительства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(установка остановочного павильона п.Колхозный)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перебои в водоснабжении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(отсутствие давления в водопроводных сетях; водоснабжение р.п.Чердаклы)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содержание кладбищ и мест захоронения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(ненадлежащее содержание кладбища в п.Октябрьский)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нормативы потребления коммунальных услуг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(начисление за откачку </w:t>
            </w:r>
            <w:r>
              <w:rPr>
                <w:rFonts w:eastAsia="Calibri" w:cs="Times New Roman" w:ascii="PT Astra Serif" w:hAnsi="PT Astra Serif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Ж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БО)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огр</w:t>
            </w:r>
            <w:r>
              <w:rPr>
                <w:rFonts w:eastAsia="Calibri" w:cs="Times New Roman" w:ascii="PT Astra Serif" w:hAnsi="PT Astra Serif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ничение свободного доступа к водному объекту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(ограничение подъезда к водоохранной зоне берега р.Волги с.Крестово-Городище)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доступность физической культуры и спорта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(сроки проведения ремонтных работ в спортивном зале школы в с.Крестово-Городище)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эксплуатация и ремонт государственного, муниципального и ведомственного жилищных фондов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(содержание квартиры в МКД с.Архангельское)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первоочередное обеспечение жилым помещением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(улучшение жилищных условий)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строительство и реконструкция дорог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(ремонт дороги от основной трассы до СНТ «Авиастроитель»)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(заключение договора социального найма)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комплексное благоустройство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(ненадлежащее благоустройство территории с.Татарский Калмаюр)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многодетные семьи. Малоимущие семьи. Неполные семьи. Молодые семьи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(выездная проверка в семью)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арендные отношения в области землепользования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(задолженность арендной платы по договору аренды земельного участка)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деятельность в сфере строительства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(незаконное строительство мечети)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транспортное обслуживание населения, пассажирские перевозки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(продлить рейс автобуса из г.Ульяновск до с.Малая Кандала, с заездом в с.Абдуллово)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(провести ремонт дороги по ул.Комсомольская с.Тат.Калмаюр)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перебои в водоснабжении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(отсутствие воды в с.Красный Яр)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градостроительство. Архитектура и проектирование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(незаконное возведение капитального строительства)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конфликты на бытовой почве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(принять меры в отношении соседа)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1.1.5.Повторных обращений с указанием основной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1.1.6.Коллективных обращений с указанием основной тематики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благоустройство и ремонт подъездных дорог, в том числе тротуаров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(ремонт дорожного полотна от п.Октябрьский до СНТ «Урожай; общественный транспорт к СНТ «Урожай» и СНТ «УСХИ»)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перебои в водоснабжении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(нет воды в с.Асаново)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транспортное обслуживание населения, пассажирские перевозки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(продлить рейс автобуса из г.Ульяновск до с.Малая Кандала, с заездом в с.Абдуллово)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управление в сфере торговли. Правила торговли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(около МКД организовывается объект нестационарной торговли)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организация условий и мест для детского отдыха и досуга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(установка новой детской площадки в р.п.Чердаклы  по ул.Солнечная и Линейная)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строительство и реконструкция дорог (асфальтирование дороги около МКД в р.п.Чердаклы)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(расторгнуть договор с УК)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комплексное благоустройство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(спилить дерево в палисаднике МКД в р.п.Чердаклы)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государственный земельный надзор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(присоединение к придомовому земельному участку)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животноводство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(выпас КРС)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строительство и реконструкция дорог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(ремонт дорог пер.Ворошилова р.п.Чердаклы)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(общее содержание дорог в с.Архангельское)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газификация поселений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(включить в программу по газоснабжению с.Архангельское (новые улицы)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PT Astra Serif" w:hAnsi="PT Astra Serif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д</w:t>
            </w: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орожные знаки и дорожная разметка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(установить ограничительные знаки по ул.2-й микрорайон р.п.Чердаклы)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>комплексное благоустройство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 xml:space="preserve"> (проведение коронации деревьев)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2/8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2/11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2/8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07.07.2021/4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26.08.2021/4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2/11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03.09.2020/7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17.09.2020/4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1.2.2.выездных личных приёмов Главы администрации в малых населённых пунктах/число принятых граждан  и перечень населённых пунктов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0/0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4/7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13.08.2020/3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(МО «Мирновское сельское поселение)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09.09.2020/2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(МО «Октябрьское сельское поселение»)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22.09.2020/1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(МО «Богдашкинское сельское поселение»)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28.09.2020/1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(МО «Богдашкинское сельское поселение»)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1/4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sz w:val="24"/>
                <w:szCs w:val="24"/>
              </w:rPr>
              <w:t>1/1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.По зарегистрированным в администрации МО обращениям: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.1.рассмотрено с выездом на место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.2.рассмотрено коллегиально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.3.решено положительно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( 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.4.разъяснено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.5.отказано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1.</w:t>
            </w: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 w:ascii="PT Astra Serif" w:hAnsi="PT Astra Serif"/>
                <w:kern w:val="0"/>
                <w:sz w:val="24"/>
                <w:szCs w:val="24"/>
                <w:lang w:val="ru-RU" w:eastAsia="ru-RU" w:bidi="ar-SA"/>
              </w:rPr>
              <w:t>.6.поставлено на контроль (%)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15 (14,8%)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23 (22,7%)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22 (21,7%)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79 (78,2%)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 (8,1%)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10 (10,2%)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14 14,2%)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84 (85,7%)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.Коэффициент исполнительской дисциплины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1.7.Количество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1.9. Количество судебных решений  в работе с обращениями и принятых управленческих мер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</w:t>
            </w:r>
            <w:r>
              <w:rPr>
                <w:rFonts w:eastAsia="Calibri" w:cs="Times New Roman" w:ascii="PT Astra Serif" w:hAnsi="PT Astra Serif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.Общее количество проведённых контрольных мероприятий: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-проверки достоверности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-проверки и изучения организации работы с обращениями граждан: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-в администрациях поселений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1.11.Общее число публикаций, материалов по работе с обращениями граждан, из них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1.12.1.опубликованных в СМИ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1.12.2.Размещённых на официальном Интернет-Сайте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b/>
                <w:kern w:val="0"/>
                <w:sz w:val="24"/>
                <w:szCs w:val="24"/>
                <w:lang w:val="ru-RU" w:eastAsia="en-US" w:bidi="ar-SA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eastAsia="Calibri" w:cs="Times New Roman" w:ascii="PT Astra Serif" w:hAnsi="PT Astra Serif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</w:tbl>
    <w:p>
      <w:pPr>
        <w:pStyle w:val="Style23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Style23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Normal"/>
        <w:spacing w:before="0" w:after="200"/>
        <w:rPr>
          <w:rFonts w:ascii="PT Astra Serif" w:hAnsi="PT Astra Serif"/>
          <w:sz w:val="24"/>
          <w:szCs w:val="24"/>
        </w:rPr>
      </w:pPr>
      <w:r>
        <w:rPr/>
      </w:r>
    </w:p>
    <w:sectPr>
      <w:type w:val="nextPage"/>
      <w:pgSz w:w="11906" w:h="16838"/>
      <w:pgMar w:left="1245" w:right="74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c198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c198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80e2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80e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A723-A80A-48DC-9E7E-7BF70403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Application>LibreOffice/7.0.0.3$Windows_x86 LibreOffice_project/8061b3e9204bef6b321a21033174034a5e2ea88e</Application>
  <Pages>6</Pages>
  <Words>793</Words>
  <Characters>5821</Characters>
  <CharactersWithSpaces>6455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2016-07-14T07:10:00Z</dcterms:created>
  <dc:creator>Линькова ПВ</dc:creator>
  <dc:description/>
  <dc:language>ru-RU</dc:language>
  <cp:lastModifiedBy/>
  <cp:lastPrinted>2021-11-18T10:13:50Z</cp:lastPrinted>
  <dcterms:modified xsi:type="dcterms:W3CDTF">2022-01-12T08:38:13Z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