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МУНИЦИПАЛЬНОЕ ОБРАЗОВАНИЕ «ЧЕРДАКЛИНСКИЙ РАЙОН»</w:t>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УЛЬЯНОВСКОЙ ОБЛАСТИ</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ПРОТОКОЛ №02</w:t>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публичных слушаний проекта отчёта об исполнении бюджета муниципального образования «Чердаклинское городское поселение» Чердаклинского района Ульяновской области за 2021 год</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b/>
          <w:b/>
          <w:bCs/>
          <w:sz w:val="26"/>
          <w:szCs w:val="26"/>
        </w:rPr>
      </w:pPr>
      <w:r>
        <w:rPr>
          <w:rFonts w:cs="Times New Roman" w:ascii="Times New Roman" w:hAnsi="Times New Roman"/>
          <w:sz w:val="26"/>
          <w:szCs w:val="26"/>
        </w:rPr>
        <w:t xml:space="preserve">Ульяновская область                                                                      </w:t>
      </w:r>
      <w:r>
        <w:rPr>
          <w:rFonts w:cs="Times New Roman" w:ascii="Times New Roman" w:hAnsi="Times New Roman"/>
          <w:b/>
          <w:bCs/>
          <w:sz w:val="26"/>
          <w:szCs w:val="26"/>
        </w:rPr>
        <w:t>18 мая 2022 г.</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Чердаклинский район                                                                     </w:t>
      </w:r>
      <w:r>
        <w:rPr>
          <w:rFonts w:cs="Times New Roman" w:ascii="Times New Roman" w:hAnsi="Times New Roman"/>
          <w:b/>
          <w:bCs/>
          <w:sz w:val="26"/>
          <w:szCs w:val="26"/>
        </w:rPr>
        <w:t>16 час. 00 мин.</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р.п. Чердаклы</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ул. Советская, 6</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6"/>
          <w:szCs w:val="26"/>
        </w:rPr>
      </w:pPr>
      <w:r>
        <w:rPr>
          <w:rFonts w:cs="Times New Roman" w:ascii="Times New Roman" w:hAnsi="Times New Roman"/>
          <w:b/>
          <w:bCs/>
          <w:sz w:val="26"/>
          <w:szCs w:val="26"/>
        </w:rPr>
        <w:t xml:space="preserve">Председатель: </w:t>
      </w:r>
      <w:r>
        <w:rPr>
          <w:rFonts w:cs="Times New Roman" w:ascii="Times New Roman" w:hAnsi="Times New Roman"/>
          <w:sz w:val="26"/>
          <w:szCs w:val="26"/>
        </w:rPr>
        <w:t xml:space="preserve">                                        Глава администрации                                                                  </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муниципального образования                                                       </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«Чердаклинский район»</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Ю.С.Нестеров</w:t>
      </w:r>
    </w:p>
    <w:p>
      <w:pPr>
        <w:pStyle w:val="Normal"/>
        <w:spacing w:lineRule="auto" w:line="240" w:before="0" w:after="0"/>
        <w:rPr>
          <w:rFonts w:ascii="Times New Roman" w:hAnsi="Times New Roman" w:cs="Times New Roman"/>
          <w:sz w:val="26"/>
          <w:szCs w:val="26"/>
        </w:rPr>
      </w:pPr>
      <w:r>
        <w:rPr>
          <w:rFonts w:cs="Times New Roman" w:ascii="Times New Roman" w:hAnsi="Times New Roman"/>
          <w:b/>
          <w:bCs/>
          <w:sz w:val="26"/>
          <w:szCs w:val="26"/>
        </w:rPr>
        <w:t>Секретарь:</w:t>
      </w:r>
      <w:r>
        <w:rPr>
          <w:rFonts w:cs="Times New Roman" w:ascii="Times New Roman" w:hAnsi="Times New Roman"/>
          <w:sz w:val="26"/>
          <w:szCs w:val="26"/>
        </w:rPr>
        <w:t xml:space="preserve">                                               Начальник управления финансов  </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муниципального образования </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«Чердаклинский район»  </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Л.Г.Сидорова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Участники публичных слушаний:         20 человека</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bCs/>
          <w:sz w:val="26"/>
          <w:szCs w:val="26"/>
        </w:rPr>
      </w:pPr>
      <w:r>
        <w:rPr>
          <w:rFonts w:cs="Times New Roman" w:ascii="Times New Roman" w:hAnsi="Times New Roman"/>
          <w:sz w:val="26"/>
          <w:szCs w:val="26"/>
        </w:rPr>
        <w:t xml:space="preserve">                                                         </w:t>
      </w:r>
      <w:r>
        <w:rPr>
          <w:rFonts w:cs="Times New Roman" w:ascii="Times New Roman" w:hAnsi="Times New Roman"/>
          <w:b/>
          <w:bCs/>
          <w:sz w:val="26"/>
          <w:szCs w:val="26"/>
        </w:rPr>
        <w:t>ПОВЕСТКА ДНЯ</w:t>
      </w:r>
    </w:p>
    <w:p>
      <w:pPr>
        <w:pStyle w:val="Normal"/>
        <w:spacing w:lineRule="auto" w:line="240" w:before="0" w:after="0"/>
        <w:ind w:firstLine="709"/>
        <w:jc w:val="both"/>
        <w:rPr>
          <w:rFonts w:ascii="Times New Roman" w:hAnsi="Times New Roman" w:cs="Times New Roman"/>
          <w:b/>
          <w:b/>
          <w:bCs/>
          <w:sz w:val="26"/>
          <w:szCs w:val="26"/>
        </w:rPr>
      </w:pPr>
      <w:r>
        <w:rPr>
          <w:rFonts w:cs="Times New Roman" w:ascii="Times New Roman" w:hAnsi="Times New Roman"/>
          <w:b/>
          <w:bCs/>
          <w:sz w:val="26"/>
          <w:szCs w:val="26"/>
        </w:rPr>
        <w:t>1. Обсуждение проекта отчёта об исполнении бюджета муниципального образования «Чердаклинское городское поселение» Чердаклинского района Ульяновской области за 2021 год</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Председатель:</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Уважаемые участники публичных слушаний! Поступило предложение открыть публичные слушания проекта отчёта об исполнении бюджета муниципального образования «Чердаклинское городское поселение» Чердаклинского района Ульяновской области за 2021 год. В соответствии со статьёй 28 Федерального закона Российской Федерации от 06.10.2003 №131-ФЗ «Об общих принципах местного самоуправления в Российской Федерации», Положением «О порядке организации и проведения публичных слушаний или общественных обсуждений в муниципальном образовании «Чердаклинское городское поселение» Чердаклинского района Ульяновской области», утвержденным решением Совета депутатов муниципального образования  «Чердаклинское городское поселение» Чердаклинского района Ульяновской области от 30.07.2018 №23</w:t>
      </w:r>
      <w:r>
        <w:rPr>
          <w:rFonts w:cs="Times New Roman" w:ascii="Times New Roman" w:hAnsi="Times New Roman"/>
          <w:sz w:val="28"/>
          <w:szCs w:val="28"/>
        </w:rPr>
        <w:t xml:space="preserve"> </w:t>
      </w:r>
      <w:r>
        <w:rPr>
          <w:rFonts w:cs="Times New Roman" w:ascii="Times New Roman" w:hAnsi="Times New Roman"/>
          <w:sz w:val="26"/>
          <w:szCs w:val="26"/>
        </w:rPr>
        <w:t xml:space="preserve">для обсуждения проектов муниципальных правовых актов по вопросам местного значения, в том числе проекта отчёта об исполнении бюджета муниципального образования «Чердаклинское городское поселение» Чердаклинского района Ульяновской области» за 2021 год с участием жителей муниципального образования «Чердаклинское городское поселение» Чердаклинского района Ульяновской области, Советом депутатов муниципального образования «Чердаклинское городское поселение» Чердаклинского района Ульяновской области могут проводиться публичные слушания как по инициативе жителей данного муниципального образования, достигших 18-летнего возраста и проживающих на территории муниципального образования «Чердаклинское городское поселение» Чердаклинского района Ульяновской области, так и по инициативе Совета депутатов муниципального образования «Чердаклинское городское поселение» Чердаклинского района Ульяновской области и Главы муниципального образования «Чердаклинское городское поселение» Чердаклинского района Ульяновской области. </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Инициатором публичных слушаний выступил  Глава  муниципального образования «Чердаклинское городское поселение» Чердаклинского района Ульяновской области. </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Во исполнение постановления Главы  муниципального образования                                                     «Чердаклинское городское поселение» Чердаклинского района Ульяновской области от 20.04.2022 №05 «О назначении публичных слушаний по проекту отчёта об исполнении бюджета муниципального образования «Чердаклинское городское поселение» Чердаклинского района Ульяновской области за 2021 год» официально опубликован проект отчёта об исполнении бюджета муниципального образования «Чердаклинское городское поселение» Чердаклинского района Ульяновской области за 2021 год с приложениями 20 апреля 2022 г. №10 в информационном бюллетене «Вестник Чердаклинского поселения».</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 момента официального опубликования проекта отчёта об исполнении бюджета муниципального образования «Чердаклинское городское поселение» Чердаклинского района Ульяновской области за 2021 год  до дня проведения публичных слушаний – до 18 мая 2022 включительно,  от жителей   муниципального образования «Чердаклинское городское поселение» Чердаклинского района Ульяновской области  не поступило рекомендаций по отчёту об исполнении бюджета муниципального образования «Чердаклинское городское поселение» Чердаклинского района Ульяновской области за 2021 год.</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настоящий момент  у участников публичных слушаний имеются какие-либо рекомендации  по основным положениям отчета об исполнении бюджета муниципального образования «Чердаклинское городское поселение» Чердаклинского района Ульяновской области за 2021 год?</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Слово  предоставляется  начальнику управления финансов  муниципального образования «Чердаклинский район» Сидоровой Л.Г.</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Сидорова Л.Г.:</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Основные параметры исполнения бюджета муниципального образования «Чердаклинское городское поселение» Чердаклинского района Ульяновской области за 2021 год характеризуются следующими показателями:</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 отчё</w:t>
      </w:r>
      <w:bookmarkStart w:id="0" w:name="_GoBack"/>
      <w:bookmarkEnd w:id="0"/>
      <w:r>
        <w:rPr>
          <w:rFonts w:cs="Times New Roman" w:ascii="Times New Roman" w:hAnsi="Times New Roman"/>
          <w:sz w:val="26"/>
          <w:szCs w:val="26"/>
        </w:rPr>
        <w:t>тном году в доход бюджета муниципального образования «Чердаклинское городское поселение» Чердаклинского района Ульяновской области поступило 109 117,2 тыс. руб., в том числе собственных доходов в виде налоговых, неналоговых доходов – 48 640,0 тыс.руб.</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План поступления доходов выполнен на 101,3%, в том числе по налоговым и неналоговым доходам на 103,6% .</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Основную долю поступлений в общем объеме налоговых и неналоговых доходов занимает налог на доходы физических лиц. Удельный вес налога на доходы физических лиц составляет 54,0% или 26 282,2 тыс.руб. Также большую долю занимает земельный налог – 26,2% или 12 753,6 тыс. руб.</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Финансовая помощь из областного бюджета поступила в сумме 60 477,2 тыс.руб.</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Исполнение бюджета муниципального образования «Чердаклинское городское поселение» Чердаклинского района Ульяновской области за 2021 год по расходам составило 94,7% от плановых назначений или 110 119,6 тыс.руб. При этом выполнены все обязательства перед населением, включая выплату в установленные сроки заработной платы работникам муниципальных учреждений поселения, обеспечено бесперебойное функционирование этих учреждений. По состоянию на 1 января 2022 года просроченной задолженности по заработной плате работников муниципальных учреждений поселения не имелось.</w:t>
      </w:r>
    </w:p>
    <w:p>
      <w:pPr>
        <w:pStyle w:val="Style111"/>
        <w:widowControl/>
        <w:spacing w:lineRule="auto" w:line="240" w:before="19" w:after="0"/>
        <w:ind w:firstLine="709"/>
        <w:jc w:val="both"/>
        <w:rPr>
          <w:sz w:val="26"/>
          <w:szCs w:val="26"/>
        </w:rPr>
      </w:pPr>
      <w:r>
        <w:rPr>
          <w:sz w:val="26"/>
          <w:szCs w:val="26"/>
        </w:rPr>
        <w:t>В 2021 году, расходы</w:t>
      </w:r>
      <w:r>
        <w:rPr>
          <w:b/>
          <w:bCs/>
          <w:sz w:val="26"/>
          <w:szCs w:val="26"/>
        </w:rPr>
        <w:t xml:space="preserve"> </w:t>
      </w:r>
      <w:r>
        <w:rPr>
          <w:sz w:val="26"/>
          <w:szCs w:val="26"/>
        </w:rPr>
        <w:t>на выплату заработной платы с начислениями составили  27 045,9 тыс. рублей, что составляет 24,6% в общем объёме расходов, на оплату коммунальных услуг – 3 970,2 тыс. рублей, или 3,6%.</w:t>
      </w:r>
    </w:p>
    <w:p>
      <w:pPr>
        <w:pStyle w:val="Style111"/>
        <w:widowControl/>
        <w:spacing w:lineRule="auto" w:line="240" w:before="19" w:after="0"/>
        <w:ind w:firstLine="709"/>
        <w:jc w:val="both"/>
        <w:rPr>
          <w:sz w:val="26"/>
          <w:szCs w:val="26"/>
        </w:rPr>
      </w:pPr>
      <w:r>
        <w:rPr>
          <w:sz w:val="26"/>
          <w:szCs w:val="26"/>
        </w:rPr>
        <w:t>По отраслям бюджетной классификации исполнение за 2021 год сложилось следующим образом:</w:t>
      </w:r>
    </w:p>
    <w:p>
      <w:pPr>
        <w:pStyle w:val="Style111"/>
        <w:widowControl/>
        <w:spacing w:lineRule="auto" w:line="240" w:before="19" w:after="0"/>
        <w:ind w:firstLine="709"/>
        <w:jc w:val="both"/>
        <w:rPr>
          <w:sz w:val="26"/>
          <w:szCs w:val="26"/>
        </w:rPr>
      </w:pPr>
      <w:r>
        <w:rPr>
          <w:sz w:val="26"/>
          <w:szCs w:val="26"/>
        </w:rPr>
        <w:t>- общегосударственные вопросы – 298,3 тыс. рублей, или 0,3 % от общего объема расходов;</w:t>
      </w:r>
    </w:p>
    <w:p>
      <w:pPr>
        <w:pStyle w:val="Style111"/>
        <w:widowControl/>
        <w:spacing w:lineRule="auto" w:line="240" w:before="19" w:after="0"/>
        <w:ind w:firstLine="709"/>
        <w:jc w:val="both"/>
        <w:rPr>
          <w:sz w:val="26"/>
          <w:szCs w:val="26"/>
        </w:rPr>
      </w:pPr>
      <w:r>
        <w:rPr>
          <w:sz w:val="26"/>
          <w:szCs w:val="26"/>
        </w:rPr>
        <w:t>- национальная безопасность и правоохранительная деятельность – 67,9 тыс. рублей, или 0,1% от общего объема расходов;</w:t>
      </w:r>
    </w:p>
    <w:p>
      <w:pPr>
        <w:pStyle w:val="Style111"/>
        <w:widowControl/>
        <w:spacing w:lineRule="auto" w:line="240" w:before="19" w:after="0"/>
        <w:ind w:firstLine="709"/>
        <w:jc w:val="both"/>
        <w:rPr>
          <w:sz w:val="26"/>
          <w:szCs w:val="26"/>
        </w:rPr>
      </w:pPr>
      <w:r>
        <w:rPr>
          <w:sz w:val="26"/>
          <w:szCs w:val="26"/>
        </w:rPr>
        <w:t>- национальная экономика – 38 296,1 тыс. рублей, или 34,7% от общего объема расходов;</w:t>
      </w:r>
    </w:p>
    <w:p>
      <w:pPr>
        <w:pStyle w:val="Style111"/>
        <w:widowControl/>
        <w:spacing w:lineRule="auto" w:line="240" w:before="19" w:after="0"/>
        <w:ind w:firstLine="709"/>
        <w:jc w:val="both"/>
        <w:rPr>
          <w:sz w:val="26"/>
          <w:szCs w:val="26"/>
        </w:rPr>
      </w:pPr>
      <w:r>
        <w:rPr>
          <w:sz w:val="26"/>
          <w:szCs w:val="26"/>
        </w:rPr>
        <w:t>- жилищно-коммунальное хозяйство – 47 225,4тыс. рублей или 42,9%;</w:t>
      </w:r>
    </w:p>
    <w:p>
      <w:pPr>
        <w:pStyle w:val="Style111"/>
        <w:widowControl/>
        <w:spacing w:lineRule="auto" w:line="240" w:before="19" w:after="0"/>
        <w:ind w:firstLine="709"/>
        <w:jc w:val="both"/>
        <w:rPr>
          <w:sz w:val="26"/>
          <w:szCs w:val="26"/>
        </w:rPr>
      </w:pPr>
      <w:r>
        <w:rPr>
          <w:sz w:val="26"/>
          <w:szCs w:val="26"/>
        </w:rPr>
        <w:t>- культура, кинематография – 23 447,5 тыс. рублей, или 21,3%;</w:t>
      </w:r>
    </w:p>
    <w:p>
      <w:pPr>
        <w:pStyle w:val="Style111"/>
        <w:widowControl/>
        <w:spacing w:lineRule="auto" w:line="240" w:before="19" w:after="0"/>
        <w:ind w:firstLine="709"/>
        <w:jc w:val="both"/>
        <w:rPr>
          <w:sz w:val="26"/>
          <w:szCs w:val="26"/>
        </w:rPr>
      </w:pPr>
      <w:r>
        <w:rPr>
          <w:sz w:val="26"/>
          <w:szCs w:val="26"/>
        </w:rPr>
        <w:t>- социальная политика – 345,4 тыс. рублей, или 0,3%;</w:t>
      </w:r>
    </w:p>
    <w:p>
      <w:pPr>
        <w:pStyle w:val="Style111"/>
        <w:widowControl/>
        <w:spacing w:lineRule="auto" w:line="240" w:before="19" w:after="0"/>
        <w:ind w:firstLine="709"/>
        <w:jc w:val="both"/>
        <w:rPr>
          <w:sz w:val="26"/>
          <w:szCs w:val="26"/>
        </w:rPr>
      </w:pPr>
      <w:r>
        <w:rPr>
          <w:sz w:val="26"/>
          <w:szCs w:val="26"/>
        </w:rPr>
        <w:t>-другие вопросы в области физической культуры и спорта – 439,0 тыс. рублей, или 0,4%.</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 xml:space="preserve">По итогам исполнения за 2021 год сложился дефицит бюджета поселения в сумме 1 002,4 тыс. руб. </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Муниципальный долг муниципального образования «Чердаклинское городское поселение» по состоянию на 01.01.2022 отсутствует.</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Председатель:</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Предлагаю приступить к обсуждению проекта отчёта об исполнении бюджета. У кого имеются замечания, предложения, дополнения?</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Ставлю на открытое голосование и предлагаю принять проект отчёта об исполнении бюджета муниципального образования «Чердаклинское городское поселение» Чердаклинского района Ульяновской области за 2021 год.</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Голосовали: «за» - 20, «против» - 0, «воздержались» - 0.</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Председатель:</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Решение принято единогласно.</w:t>
      </w:r>
    </w:p>
    <w:p>
      <w:pPr>
        <w:pStyle w:val="Normal"/>
        <w:spacing w:lineRule="atLeast" w:line="30"/>
        <w:ind w:firstLine="709"/>
        <w:jc w:val="both"/>
        <w:rPr>
          <w:rFonts w:ascii="Times New Roman" w:hAnsi="Times New Roman" w:cs="Times New Roman"/>
          <w:sz w:val="26"/>
          <w:szCs w:val="26"/>
        </w:rPr>
      </w:pPr>
      <w:r>
        <w:rPr>
          <w:rFonts w:cs="Times New Roman" w:ascii="Times New Roman" w:hAnsi="Times New Roman"/>
          <w:sz w:val="26"/>
          <w:szCs w:val="26"/>
        </w:rPr>
        <w:t>Председатель:                                                                                   Ю.С.Нестеров</w:t>
      </w:r>
    </w:p>
    <w:p>
      <w:pPr>
        <w:pStyle w:val="Normal"/>
        <w:tabs>
          <w:tab w:val="clear" w:pos="708"/>
          <w:tab w:val="left" w:pos="9350" w:leader="none"/>
        </w:tabs>
        <w:spacing w:lineRule="atLeast" w:line="30" w:before="0" w:after="20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Секретарь                                                                                            Л.Г.Сидорова  </w:t>
      </w:r>
    </w:p>
    <w:sectPr>
      <w:type w:val="nextPage"/>
      <w:pgSz w:w="11906" w:h="16838"/>
      <w:pgMar w:left="1701" w:right="855" w:gutter="0" w:header="0" w:top="1134"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5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514"/>
    <w:pPr>
      <w:widowControl/>
      <w:suppressAutoHyphens w:val="true"/>
      <w:bidi w:val="0"/>
      <w:spacing w:lineRule="auto" w:line="276" w:before="0" w:after="200"/>
      <w:jc w:val="left"/>
    </w:pPr>
    <w:rPr>
      <w:rFonts w:ascii="Calibri" w:hAnsi="Calibri" w:eastAsia="Calibri" w:cs="Calibri"/>
      <w:color w:val="auto"/>
      <w:kern w:val="0"/>
      <w:sz w:val="22"/>
      <w:szCs w:val="22"/>
      <w:lang w:val="ru-RU" w:eastAsia="en-US" w:bidi="ar-SA"/>
    </w:rPr>
  </w:style>
  <w:style w:type="character" w:styleId="DefaultParagraphFont" w:default="1">
    <w:name w:val="Default Paragraph Font"/>
    <w:uiPriority w:val="99"/>
    <w:semiHidden/>
    <w:qFormat/>
    <w:rPr/>
  </w:style>
  <w:style w:type="character" w:styleId="BodyTextChar" w:customStyle="1">
    <w:name w:val="Body Text Char"/>
    <w:basedOn w:val="DefaultParagraphFont"/>
    <w:uiPriority w:val="99"/>
    <w:qFormat/>
    <w:locked/>
    <w:rsid w:val="00ea05c7"/>
    <w:rPr>
      <w:rFonts w:ascii="Times New Roman" w:hAnsi="Times New Roman" w:cs="Times New Roman"/>
      <w:sz w:val="26"/>
      <w:szCs w:val="26"/>
      <w:lang w:eastAsia="ru-RU"/>
    </w:rPr>
  </w:style>
  <w:style w:type="character" w:styleId="FontStyle23" w:customStyle="1">
    <w:name w:val="Font Style23"/>
    <w:uiPriority w:val="99"/>
    <w:qFormat/>
    <w:rsid w:val="002223ea"/>
    <w:rPr>
      <w:rFonts w:ascii="Times New Roman" w:hAnsi="Times New Roman" w:cs="Times New Roman"/>
      <w:sz w:val="20"/>
      <w:szCs w:val="20"/>
    </w:rPr>
  </w:style>
  <w:style w:type="character" w:styleId="BalloonTextChar" w:customStyle="1">
    <w:name w:val="Balloon Text Char"/>
    <w:basedOn w:val="DefaultParagraphFont"/>
    <w:link w:val="BalloonText"/>
    <w:uiPriority w:val="99"/>
    <w:semiHidden/>
    <w:qFormat/>
    <w:locked/>
    <w:rsid w:val="00d04b38"/>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link w:val="BodyTextChar"/>
    <w:uiPriority w:val="99"/>
    <w:rsid w:val="00ea05c7"/>
    <w:pPr>
      <w:tabs>
        <w:tab w:val="clear" w:pos="708"/>
        <w:tab w:val="left" w:pos="3360" w:leader="none"/>
        <w:tab w:val="left" w:pos="3544" w:leader="none"/>
      </w:tabs>
      <w:spacing w:lineRule="auto" w:line="240" w:before="0" w:after="0"/>
    </w:pPr>
    <w:rPr>
      <w:sz w:val="26"/>
      <w:szCs w:val="26"/>
      <w:lang w:eastAsia="ru-RU"/>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ListParagraph">
    <w:name w:val="List Paragraph"/>
    <w:basedOn w:val="Normal"/>
    <w:uiPriority w:val="99"/>
    <w:qFormat/>
    <w:rsid w:val="00ea05c7"/>
    <w:pPr>
      <w:ind w:left="720" w:hanging="0"/>
    </w:pPr>
    <w:rPr/>
  </w:style>
  <w:style w:type="paragraph" w:styleId="Style111" w:customStyle="1">
    <w:name w:val="Style11"/>
    <w:basedOn w:val="Normal"/>
    <w:uiPriority w:val="99"/>
    <w:qFormat/>
    <w:rsid w:val="002223ea"/>
    <w:pPr>
      <w:widowControl w:val="false"/>
      <w:spacing w:lineRule="exact" w:line="253" w:before="0" w:after="0"/>
      <w:ind w:firstLine="278"/>
    </w:pPr>
    <w:rPr>
      <w:rFonts w:ascii="Times New Roman" w:hAnsi="Times New Roman" w:eastAsia="Times New Roman" w:cs="Times New Roman"/>
      <w:sz w:val="24"/>
      <w:szCs w:val="24"/>
      <w:lang w:eastAsia="ru-RU"/>
    </w:rPr>
  </w:style>
  <w:style w:type="paragraph" w:styleId="ConsPlusNormal" w:customStyle="1">
    <w:name w:val="ConsPlusNormal"/>
    <w:uiPriority w:val="99"/>
    <w:qFormat/>
    <w:rsid w:val="002223ea"/>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19" w:customStyle="1">
    <w:name w:val="Style19"/>
    <w:basedOn w:val="Normal"/>
    <w:uiPriority w:val="99"/>
    <w:qFormat/>
    <w:rsid w:val="002223ea"/>
    <w:pPr>
      <w:widowControl w:val="false"/>
      <w:spacing w:lineRule="auto" w:line="240" w:before="0" w:after="0"/>
    </w:pPr>
    <w:rPr>
      <w:rFonts w:ascii="Times New Roman" w:hAnsi="Times New Roman" w:eastAsia="Times New Roman" w:cs="Times New Roman"/>
      <w:sz w:val="24"/>
      <w:szCs w:val="24"/>
      <w:lang w:eastAsia="ru-RU"/>
    </w:rPr>
  </w:style>
  <w:style w:type="paragraph" w:styleId="Style71" w:customStyle="1">
    <w:name w:val="Style7"/>
    <w:basedOn w:val="Normal"/>
    <w:uiPriority w:val="99"/>
    <w:qFormat/>
    <w:rsid w:val="002223ea"/>
    <w:pPr>
      <w:widowControl w:val="false"/>
      <w:spacing w:lineRule="exact" w:line="269" w:before="0" w:after="0"/>
      <w:ind w:firstLine="979"/>
      <w:jc w:val="both"/>
    </w:pPr>
    <w:rPr>
      <w:rFonts w:ascii="Times New Roman" w:hAnsi="Times New Roman" w:eastAsia="Times New Roman" w:cs="Times New Roman"/>
      <w:sz w:val="24"/>
      <w:szCs w:val="24"/>
      <w:lang w:eastAsia="ru-RU"/>
    </w:rPr>
  </w:style>
  <w:style w:type="paragraph" w:styleId="BalloonText">
    <w:name w:val="Balloon Text"/>
    <w:basedOn w:val="Normal"/>
    <w:link w:val="BalloonTextChar"/>
    <w:uiPriority w:val="99"/>
    <w:semiHidden/>
    <w:qFormat/>
    <w:rsid w:val="00d04b38"/>
    <w:pPr>
      <w:spacing w:lineRule="auto" w:line="240" w:before="0" w:after="0"/>
    </w:pPr>
    <w:rPr>
      <w:rFonts w:ascii="Tahoma" w:hAnsi="Tahoma" w:cs="Tahoma"/>
      <w:sz w:val="16"/>
      <w:szCs w:val="16"/>
      <w:lang w:eastAsia="ru-RU"/>
    </w:rPr>
  </w:style>
  <w:style w:type="paragraph" w:styleId="Style20" w:customStyle="1">
    <w:name w:val="Знак Знак Знак Знак Знак Знак"/>
    <w:basedOn w:val="Normal"/>
    <w:next w:val="Normal"/>
    <w:uiPriority w:val="99"/>
    <w:semiHidden/>
    <w:qFormat/>
    <w:rsid w:val="006e76df"/>
    <w:pPr>
      <w:spacing w:lineRule="exact" w:line="240" w:before="0" w:after="160"/>
    </w:pPr>
    <w:rPr>
      <w:rFonts w:ascii="Arial" w:hAnsi="Arial" w:cs="Arial"/>
      <w:sz w:val="20"/>
      <w:szCs w:val="20"/>
      <w:lang w:val="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cf112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515</TotalTime>
  <Application>LibreOffice/7.3.1.3$Windows_X86_64 LibreOffice_project/a69ca51ded25f3eefd52d7bf9a5fad8c90b87951</Application>
  <AppVersion>15.0000</AppVersion>
  <Pages>3</Pages>
  <Words>860</Words>
  <Characters>6452</Characters>
  <CharactersWithSpaces>8287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2014-05-07T06:57:00Z</dcterms:created>
  <dc:creator>Федотова НВ</dc:creator>
  <dc:description/>
  <dc:language>ru-RU</dc:language>
  <cp:lastModifiedBy/>
  <cp:lastPrinted>2022-05-19T08:49:24Z</cp:lastPrinted>
  <dcterms:modified xsi:type="dcterms:W3CDTF">2022-05-19T08:49:15Z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