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01" w:rsidRDefault="00467E01">
      <w:pPr>
        <w:pStyle w:val="ConsPlusTitlePage"/>
      </w:pPr>
      <w:bookmarkStart w:id="0" w:name="_GoBack"/>
      <w:bookmarkEnd w:id="0"/>
      <w:r>
        <w:br/>
      </w:r>
    </w:p>
    <w:p w:rsidR="00467E01" w:rsidRDefault="00467E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7E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E01" w:rsidRDefault="00467E01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E01" w:rsidRDefault="00467E01">
            <w:pPr>
              <w:pStyle w:val="ConsPlusNormal"/>
              <w:jc w:val="right"/>
            </w:pPr>
            <w:r>
              <w:t>N 204</w:t>
            </w:r>
          </w:p>
        </w:tc>
      </w:tr>
    </w:tbl>
    <w:p w:rsidR="00467E01" w:rsidRDefault="00467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E01" w:rsidRDefault="00467E01">
      <w:pPr>
        <w:pStyle w:val="ConsPlusNormal"/>
        <w:jc w:val="both"/>
      </w:pPr>
    </w:p>
    <w:p w:rsidR="00467E01" w:rsidRDefault="00467E01">
      <w:pPr>
        <w:pStyle w:val="ConsPlusTitle"/>
        <w:jc w:val="center"/>
      </w:pPr>
      <w:r>
        <w:t>УКАЗ</w:t>
      </w:r>
    </w:p>
    <w:p w:rsidR="00467E01" w:rsidRDefault="00467E01">
      <w:pPr>
        <w:pStyle w:val="ConsPlusTitle"/>
        <w:jc w:val="both"/>
      </w:pPr>
    </w:p>
    <w:p w:rsidR="00467E01" w:rsidRDefault="00467E01">
      <w:pPr>
        <w:pStyle w:val="ConsPlusTitle"/>
        <w:jc w:val="center"/>
      </w:pPr>
      <w:r>
        <w:t>ПРЕЗИДЕНТА РОССИЙСКОЙ ФЕДЕРАЦИИ</w:t>
      </w:r>
    </w:p>
    <w:p w:rsidR="00467E01" w:rsidRDefault="00467E01">
      <w:pPr>
        <w:pStyle w:val="ConsPlusTitle"/>
        <w:jc w:val="both"/>
      </w:pPr>
    </w:p>
    <w:p w:rsidR="00467E01" w:rsidRDefault="00467E01">
      <w:pPr>
        <w:pStyle w:val="ConsPlusTitle"/>
        <w:jc w:val="center"/>
      </w:pPr>
      <w:r>
        <w:t>О НАЦИОНАЛЬНЫХ ЦЕЛЯХ И СТРАТЕГИЧЕСКИХ ЗАДАЧАХ</w:t>
      </w:r>
    </w:p>
    <w:p w:rsidR="00467E01" w:rsidRDefault="00467E01">
      <w:pPr>
        <w:pStyle w:val="ConsPlusTitle"/>
        <w:jc w:val="center"/>
      </w:pPr>
      <w:r>
        <w:t>РАЗВИТИЯ РОССИЙСКОЙ ФЕДЕРАЦИИ НА ПЕРИОД ДО 2024 ГОДА</w:t>
      </w:r>
    </w:p>
    <w:p w:rsidR="00467E01" w:rsidRDefault="00467E01">
      <w:pPr>
        <w:spacing w:after="1"/>
      </w:pPr>
    </w:p>
    <w:p w:rsidR="00467E01" w:rsidRDefault="00467E01">
      <w:pPr>
        <w:pStyle w:val="ConsPlusNormal"/>
        <w:jc w:val="both"/>
      </w:pPr>
    </w:p>
    <w:p w:rsidR="00467E01" w:rsidRDefault="00467E01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467E01" w:rsidRDefault="00467E0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467E01" w:rsidRDefault="00467E01">
      <w:pPr>
        <w:pStyle w:val="ConsPlusNormal"/>
        <w:spacing w:before="220"/>
        <w:ind w:firstLine="540"/>
        <w:jc w:val="both"/>
      </w:pPr>
      <w:bookmarkStart w:id="2" w:name="P26"/>
      <w:bookmarkEnd w:id="2"/>
      <w:r>
        <w:lastRenderedPageBreak/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467E01" w:rsidRDefault="00467E0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демография;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образование;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экология;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наука;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культура;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467E01" w:rsidRDefault="00467E01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9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</w:t>
      </w:r>
      <w:r>
        <w:lastRenderedPageBreak/>
        <w:t>современной инфраструктуры оказания медицинской помощи детям;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0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proofErr w:type="gramStart"/>
      <w:r>
        <w:t xml:space="preserve">эффективное обращение с отходами производства и потребления, включая ликвидацию </w:t>
      </w:r>
      <w:r>
        <w:lastRenderedPageBreak/>
        <w:t>всех выявленных на 1 января 2018 г. несанкционированных свалок в границах городов;</w:t>
      </w:r>
      <w:proofErr w:type="gramEnd"/>
    </w:p>
    <w:p w:rsidR="00467E01" w:rsidRDefault="00467E01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spacing w:after="1"/>
      </w:pPr>
    </w:p>
    <w:p w:rsidR="00467E01" w:rsidRDefault="00467E01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</w:t>
      </w:r>
      <w:r>
        <w:lastRenderedPageBreak/>
        <w:t xml:space="preserve">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</w:t>
      </w:r>
      <w:r>
        <w:lastRenderedPageBreak/>
        <w:t>повышения производительности труда и поддержки занятости обеспечить в 2024 году: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разработка и внедрение национального механизма осуществления согласованной политики </w:t>
      </w:r>
      <w:r>
        <w:lastRenderedPageBreak/>
        <w:t>государств - членов Евразийского экономического союза при реализации планов в области развития цифровой экономики.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467E01" w:rsidRDefault="00467E01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467E01" w:rsidRDefault="00467E01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467E01" w:rsidRDefault="00467E01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467E01" w:rsidRDefault="00467E01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lastRenderedPageBreak/>
        <w:t>в) гарантированного обеспечения доступной электроэнергией, в том числе за счет: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467E01" w:rsidRDefault="00467E01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467E01" w:rsidRDefault="00467E01">
      <w:pPr>
        <w:pStyle w:val="ConsPlusNormal"/>
        <w:jc w:val="both"/>
      </w:pPr>
    </w:p>
    <w:p w:rsidR="00467E01" w:rsidRDefault="00467E01">
      <w:pPr>
        <w:pStyle w:val="ConsPlusNormal"/>
        <w:jc w:val="right"/>
      </w:pPr>
      <w:r>
        <w:t>Президент</w:t>
      </w:r>
    </w:p>
    <w:p w:rsidR="00467E01" w:rsidRDefault="00467E01">
      <w:pPr>
        <w:pStyle w:val="ConsPlusNormal"/>
        <w:jc w:val="right"/>
      </w:pPr>
      <w:r>
        <w:t>Российской Федерации</w:t>
      </w:r>
    </w:p>
    <w:p w:rsidR="00467E01" w:rsidRDefault="00467E01">
      <w:pPr>
        <w:pStyle w:val="ConsPlusNormal"/>
        <w:jc w:val="right"/>
      </w:pPr>
      <w:r>
        <w:t>В.ПУТИН</w:t>
      </w:r>
    </w:p>
    <w:p w:rsidR="00467E01" w:rsidRDefault="00467E01">
      <w:pPr>
        <w:pStyle w:val="ConsPlusNormal"/>
      </w:pPr>
      <w:r>
        <w:t>Москва, Кремль</w:t>
      </w:r>
    </w:p>
    <w:p w:rsidR="00467E01" w:rsidRDefault="00467E01">
      <w:pPr>
        <w:pStyle w:val="ConsPlusNormal"/>
        <w:spacing w:before="220"/>
      </w:pPr>
      <w:r>
        <w:t>7 мая 2018 года</w:t>
      </w:r>
    </w:p>
    <w:p w:rsidR="00467E01" w:rsidRDefault="00467E01">
      <w:pPr>
        <w:pStyle w:val="ConsPlusNormal"/>
        <w:spacing w:before="220"/>
      </w:pPr>
      <w:r>
        <w:t>N 204</w:t>
      </w:r>
    </w:p>
    <w:p w:rsidR="00467E01" w:rsidRDefault="00467E01">
      <w:pPr>
        <w:pStyle w:val="ConsPlusNormal"/>
        <w:jc w:val="both"/>
      </w:pPr>
    </w:p>
    <w:p w:rsidR="00467E01" w:rsidRDefault="00467E01">
      <w:pPr>
        <w:pStyle w:val="ConsPlusNormal"/>
        <w:jc w:val="both"/>
      </w:pPr>
    </w:p>
    <w:p w:rsidR="00467E01" w:rsidRDefault="00467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354" w:rsidRDefault="00813354"/>
    <w:sectPr w:rsidR="00813354" w:rsidSect="006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01"/>
    <w:rsid w:val="00467E01"/>
    <w:rsid w:val="008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FA6B838C3FD834EA353804D3816C12D312FF9D5D4290711B066D75FA80B1759141A991A7738C3q8v6H" TargetMode="External"/><Relationship Id="rId13" Type="http://schemas.openxmlformats.org/officeDocument/2006/relationships/hyperlink" Target="consultantplus://offline/ref=CCEBDEFC79E913B7049527266D14C9347A9FA3B739C1FD834EA353804D3816C12D312FF9D5D429061FB066D75FA80B1759141A991A7738C3q8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BDEFC79E913B7049527266D14C9347A9DA1B23BC1FD834EA353804D3816C12D312FF9D5D4290617B066D75FA80B1759141A991A7738C3q8v6H" TargetMode="External"/><Relationship Id="rId12" Type="http://schemas.openxmlformats.org/officeDocument/2006/relationships/hyperlink" Target="consultantplus://offline/ref=CCEBDEFC79E913B7049527266D14C9347A9DA8B43DC2FD834EA353804D3816C13F3177F5D7D6370617A5308619qFvD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BDEFC79E913B7049527266D14C9347A9CA9B138C6FD834EA353804D3816C13F3177F5D7D6370617A5308619qFvDH" TargetMode="External"/><Relationship Id="rId11" Type="http://schemas.openxmlformats.org/officeDocument/2006/relationships/hyperlink" Target="consultantplus://offline/ref=CCEBDEFC79E913B7049527266D14C9347B9BA9B53BC6FD834EA353804D3816C13F3177F5D7D6370617A5308619qFvDH" TargetMode="External"/><Relationship Id="rId5" Type="http://schemas.openxmlformats.org/officeDocument/2006/relationships/hyperlink" Target="consultantplus://offline/ref=CCEBDEFC79E913B7049527266D14C9347A9CA6B839C2FD834EA353804D3816C12D312FF9D5D4290614B066D75FA80B1759141A991A7738C3q8v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BDEFC79E913B7049527266D14C9347A98A3B638C8FD834EA353804D3816C12D312FF9D5D4290712B066D75FA80B1759141A991A7738C3q8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BDEFC79E913B7049527266D14C9347898A0B73FC1FD834EA353804D3816C12D312FF9D5D4280415B066D75FA80B1759141A991A7738C3q8v6H" TargetMode="External"/><Relationship Id="rId14" Type="http://schemas.openxmlformats.org/officeDocument/2006/relationships/hyperlink" Target="consultantplus://offline/ref=CCEBDEFC79E913B7049527266D14C9347A9CA9B73AC3FD834EA353804D3816C12D312FF9D5D4290710B066D75FA80B1759141A991A7738C3q8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1</cp:revision>
  <dcterms:created xsi:type="dcterms:W3CDTF">2020-01-22T07:47:00Z</dcterms:created>
  <dcterms:modified xsi:type="dcterms:W3CDTF">2020-01-22T07:50:00Z</dcterms:modified>
</cp:coreProperties>
</file>