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  <w:u w:val="none"/>
        </w:rPr>
        <w:t xml:space="preserve">Об утверждении Положения о порядке </w:t>
      </w:r>
      <w:r>
        <w:rPr>
          <w:rFonts w:eastAsia="Times New Roman" w:cs="PT Astra Serif" w:ascii="PT Astra Serif" w:hAnsi="PT Astra Serif"/>
          <w:b/>
          <w:bCs/>
          <w:color w:val="000000"/>
          <w:sz w:val="28"/>
          <w:szCs w:val="28"/>
          <w:u w:val="none"/>
          <w:lang w:eastAsia="ru-RU"/>
        </w:rPr>
        <w:t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Об утверждении Положения о порядке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проект утверждает постановление администрации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4"/>
          <w:szCs w:val="24"/>
          <w:u w:val="none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Об утверждении Положения о порядке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xx" w:bidi="zxx"/>
        </w:rPr>
        <w:t>у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eastAsia="zxx" w:bidi="zxx"/>
        </w:rPr>
        <w:t xml:space="preserve">станавливает порядок </w:t>
      </w:r>
      <w:r>
        <w:rPr>
          <w:rFonts w:cs="Times New Roman" w:ascii="Times New Roman" w:hAnsi="Times New Roman"/>
          <w:b/>
          <w:bCs w:val="false"/>
          <w:sz w:val="28"/>
          <w:szCs w:val="28"/>
          <w:lang w:eastAsia="zxx" w:bidi="zxx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 w:bidi="zxx"/>
        </w:rPr>
        <w:t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Проект постановления администрации муниципального образования «Чердаклинский район» Ульяновской области «Об утверждении Положения о порядке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 w:bidi="zxx"/>
        </w:rPr>
        <w:t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» разработан в соответствии</w:t>
      </w:r>
      <w:r>
        <w:rPr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/>
        </w:rPr>
        <w:t xml:space="preserve">Федеральным законом от 13.03.2006 №38-ФЗ «О рекламе», </w:t>
      </w:r>
      <w:hyperlink r:id="rId2">
        <w:r>
          <w:rPr>
            <w:rFonts w:eastAsia="Times New Roman" w:cs="PT Astra Serif" w:ascii="PT Astra Serif" w:hAnsi="PT Astra Serif"/>
            <w:b w:val="false"/>
            <w:bCs/>
            <w:color w:val="000000"/>
            <w:sz w:val="28"/>
            <w:szCs w:val="28"/>
            <w:u w:val="none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>
        <w:rPr>
          <w:rFonts w:cs="Times New Roman" w:ascii="PT Astra Serif" w:hAnsi="PT Astra Serif"/>
          <w:bCs/>
          <w:color w:val="000000"/>
          <w:sz w:val="28"/>
          <w:szCs w:val="28"/>
          <w:u w:val="none"/>
          <w:lang w:eastAsia="ar-S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  <w:lang w:eastAsia="ar-SA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обусловлен необходимостью приведения в соответствие нормативно-правовой базы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  <w:t>Постановление администрации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г. Ульяновск от 15.05.2014 № 2289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Установлены сроки: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- 3 дня с момента выдачи предписания;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- 1 месяц, если условие не выполнено и предписание выдано собственнику </w:t>
            </w:r>
            <w:r>
              <w:rPr>
                <w:rFonts w:eastAsia="Times New Roman" w:cs="PT Astra Serif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недвижимого имущества, к которому присоединена рекламная конструкция</w:t>
            </w:r>
            <w:r>
              <w:rPr>
                <w:rFonts w:eastAsia="Calibri" w:cs="PT Astra Serif" w:ascii="PT Astra Serif" w:hAnsi="PT Astra Serif"/>
                <w:color w:val="000000"/>
                <w:kern w:val="0"/>
                <w:sz w:val="26"/>
                <w:szCs w:val="26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Calibri" w:cs="PT Astra Serif" w:ascii="PT Astra Serif" w:hAnsi="PT Astra Serif"/>
                <w:color w:val="000000"/>
                <w:kern w:val="0"/>
                <w:sz w:val="26"/>
                <w:szCs w:val="26"/>
                <w:lang w:val="ru-RU" w:eastAsia="en-US" w:bidi="ar-SA"/>
              </w:rPr>
              <w:t>Установлен порядок возврата демонтированной рекламной конструкции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ru-RU" w:eastAsia="zxx" w:bidi="zxx"/>
        </w:rPr>
        <w:t>у</w:t>
      </w: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>станавливает</w:t>
      </w: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ru-RU" w:bidi="zxx"/>
        </w:rPr>
        <w:t>порядок 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район» Ульяновской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физически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или юридически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лица (собственники рекламной конструкции или собственник  </w:t>
      </w:r>
      <w:r>
        <w:rPr>
          <w:rFonts w:eastAsia="Times New Roman" w:cs="PT Astra Serif" w:ascii="PT Astra Serif" w:hAnsi="PT Astra Serif"/>
          <w:color w:val="000000"/>
          <w:sz w:val="28"/>
          <w:szCs w:val="28"/>
          <w:u w:val="none"/>
          <w:lang w:eastAsia="ru-RU"/>
        </w:rPr>
        <w:t>недвижимого имущества, к которому присоединена рекламная конструкция)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9">
    <w:name w:val="Посещённая гиперссылка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5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Title"/>
    <w:basedOn w:val="Normal"/>
    <w:next w:val="Style27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7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187606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LibreOffice/7.0.3.1$Windows_X86_64 LibreOffice_project/d7547858d014d4cf69878db179d326fc3483e082</Application>
  <Pages>5</Pages>
  <Words>947</Words>
  <Characters>7732</Characters>
  <CharactersWithSpaces>8618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2022-11-10T16:11:24Z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